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19B" w:rsidRDefault="0086419B" w:rsidP="0093701C">
      <w:pPr>
        <w:pStyle w:val="Normlnweb"/>
        <w:shd w:val="clear" w:color="auto" w:fill="FFFFFF"/>
        <w:spacing w:before="0" w:beforeAutospacing="0" w:after="165" w:afterAutospacing="0"/>
        <w:jc w:val="both"/>
        <w:rPr>
          <w:rFonts w:asciiTheme="minorHAnsi" w:hAnsiTheme="minorHAnsi" w:cstheme="minorHAnsi"/>
          <w:b/>
          <w:color w:val="2E74B5" w:themeColor="accent1" w:themeShade="BF"/>
          <w:sz w:val="32"/>
          <w:szCs w:val="32"/>
        </w:rPr>
      </w:pPr>
      <w:r w:rsidRPr="0086419B">
        <w:rPr>
          <w:rFonts w:asciiTheme="minorHAnsi" w:hAnsiTheme="minorHAnsi" w:cstheme="minorHAnsi"/>
          <w:b/>
          <w:color w:val="2E74B5" w:themeColor="accent1" w:themeShade="BF"/>
          <w:sz w:val="32"/>
          <w:szCs w:val="32"/>
        </w:rPr>
        <w:t>Vlastní vinou zemřela na silnicích jen necelá pětina chodců</w:t>
      </w:r>
    </w:p>
    <w:p w:rsidR="0093701C" w:rsidRPr="0086419B" w:rsidRDefault="0086419B" w:rsidP="0086419B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 xml:space="preserve">1. </w:t>
      </w:r>
      <w:r w:rsidRPr="0086419B">
        <w:rPr>
          <w:rFonts w:asciiTheme="minorHAnsi" w:hAnsiTheme="minorHAnsi" w:cstheme="minorHAnsi"/>
          <w:i/>
          <w:sz w:val="22"/>
          <w:szCs w:val="22"/>
        </w:rPr>
        <w:t>srpna</w:t>
      </w:r>
      <w:r w:rsidR="0093701C" w:rsidRPr="0086419B">
        <w:rPr>
          <w:rFonts w:asciiTheme="minorHAnsi" w:hAnsiTheme="minorHAnsi" w:cstheme="minorHAnsi"/>
          <w:i/>
          <w:sz w:val="22"/>
          <w:szCs w:val="22"/>
        </w:rPr>
        <w:t xml:space="preserve"> 2019, Praha</w:t>
      </w:r>
    </w:p>
    <w:p w:rsidR="0093701C" w:rsidRPr="0093701C" w:rsidRDefault="0093701C" w:rsidP="0093701C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86419B" w:rsidRDefault="0086419B" w:rsidP="0093701C">
      <w:pPr>
        <w:jc w:val="both"/>
        <w:rPr>
          <w:rFonts w:asciiTheme="minorHAnsi" w:hAnsiTheme="minorHAnsi" w:cstheme="minorHAnsi"/>
          <w:sz w:val="22"/>
          <w:szCs w:val="22"/>
        </w:rPr>
      </w:pPr>
      <w:r w:rsidRPr="0086419B">
        <w:rPr>
          <w:rFonts w:asciiTheme="minorHAnsi" w:hAnsiTheme="minorHAnsi" w:cstheme="minorHAnsi"/>
          <w:sz w:val="22"/>
          <w:szCs w:val="22"/>
        </w:rPr>
        <w:t xml:space="preserve">V roce 2018 bylo evidováno 3 532 nehod s účastí chodců, meziročně o 112 více (+3,3 %). </w:t>
      </w:r>
      <w:r>
        <w:rPr>
          <w:rFonts w:asciiTheme="minorHAnsi" w:hAnsiTheme="minorHAnsi" w:cstheme="minorHAnsi"/>
          <w:b/>
          <w:sz w:val="22"/>
          <w:szCs w:val="22"/>
        </w:rPr>
        <w:t>Při těchto nehodách bylo usmrceno 113 chodců</w:t>
      </w:r>
      <w:r w:rsidRPr="0086419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86419B">
        <w:rPr>
          <w:rFonts w:asciiTheme="minorHAnsi" w:hAnsiTheme="minorHAnsi" w:cstheme="minorHAnsi"/>
          <w:sz w:val="22"/>
          <w:szCs w:val="22"/>
        </w:rPr>
        <w:t>(meziročně o 12 více, tj. +11,9 %)</w:t>
      </w:r>
      <w:r>
        <w:rPr>
          <w:rFonts w:asciiTheme="minorHAnsi" w:hAnsiTheme="minorHAnsi" w:cstheme="minorHAnsi"/>
          <w:b/>
          <w:sz w:val="22"/>
          <w:szCs w:val="22"/>
        </w:rPr>
        <w:t xml:space="preserve">, dalších 517 chodců bylo těžce zraněno </w:t>
      </w:r>
      <w:r w:rsidRPr="0086419B">
        <w:rPr>
          <w:rFonts w:asciiTheme="minorHAnsi" w:hAnsiTheme="minorHAnsi" w:cstheme="minorHAnsi"/>
          <w:sz w:val="22"/>
          <w:szCs w:val="22"/>
        </w:rPr>
        <w:t>(pozn. historicky nejméně).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86419B">
        <w:rPr>
          <w:rFonts w:asciiTheme="minorHAnsi" w:hAnsiTheme="minorHAnsi" w:cstheme="minorHAnsi"/>
          <w:b/>
          <w:sz w:val="22"/>
          <w:szCs w:val="22"/>
        </w:rPr>
        <w:t>Každá 5. usmrcená osoba byla v roce 2018 chodcem!</w:t>
      </w:r>
    </w:p>
    <w:p w:rsidR="0051312D" w:rsidRDefault="0051312D" w:rsidP="0093701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51312D" w:rsidRPr="0051312D" w:rsidRDefault="0051312D" w:rsidP="0051312D">
      <w:pPr>
        <w:jc w:val="both"/>
        <w:rPr>
          <w:rFonts w:asciiTheme="minorHAnsi" w:hAnsiTheme="minorHAnsi" w:cstheme="minorHAnsi"/>
          <w:sz w:val="22"/>
          <w:szCs w:val="22"/>
        </w:rPr>
      </w:pPr>
      <w:r w:rsidRPr="0051312D">
        <w:rPr>
          <w:rFonts w:asciiTheme="minorHAnsi" w:hAnsiTheme="minorHAnsi" w:cstheme="minorHAnsi"/>
          <w:b/>
          <w:sz w:val="22"/>
          <w:szCs w:val="22"/>
        </w:rPr>
        <w:t>V období let 2012-2018 bylo usmrceno 848 chodců</w:t>
      </w:r>
      <w:r w:rsidRPr="0051312D">
        <w:rPr>
          <w:rFonts w:asciiTheme="minorHAnsi" w:hAnsiTheme="minorHAnsi" w:cstheme="minorHAnsi"/>
          <w:sz w:val="22"/>
          <w:szCs w:val="22"/>
        </w:rPr>
        <w:t xml:space="preserve">, tj. oproti stanoveným předpokladům </w:t>
      </w:r>
      <w:r>
        <w:rPr>
          <w:rFonts w:asciiTheme="minorHAnsi" w:hAnsiTheme="minorHAnsi" w:cstheme="minorHAnsi"/>
          <w:sz w:val="22"/>
          <w:szCs w:val="22"/>
        </w:rPr>
        <w:t xml:space="preserve">Národní strategií bezpečnosti silničního provozu </w:t>
      </w:r>
      <w:r w:rsidRPr="0051312D">
        <w:rPr>
          <w:rFonts w:asciiTheme="minorHAnsi" w:hAnsiTheme="minorHAnsi" w:cstheme="minorHAnsi"/>
          <w:sz w:val="22"/>
          <w:szCs w:val="22"/>
        </w:rPr>
        <w:t xml:space="preserve">o 81 více (+11 %). </w:t>
      </w:r>
      <w:r w:rsidRPr="0051312D">
        <w:rPr>
          <w:rFonts w:asciiTheme="minorHAnsi" w:hAnsiTheme="minorHAnsi" w:cstheme="minorHAnsi"/>
          <w:b/>
          <w:sz w:val="22"/>
          <w:szCs w:val="22"/>
        </w:rPr>
        <w:t>Těžce zraněno pak bylo 4 084 chodců</w:t>
      </w:r>
      <w:r w:rsidRPr="0051312D">
        <w:rPr>
          <w:rFonts w:asciiTheme="minorHAnsi" w:hAnsiTheme="minorHAnsi" w:cstheme="minorHAnsi"/>
          <w:sz w:val="22"/>
          <w:szCs w:val="22"/>
        </w:rPr>
        <w:t>, o 125 více (+3 %).</w:t>
      </w:r>
    </w:p>
    <w:p w:rsidR="0051312D" w:rsidRDefault="0051312D" w:rsidP="0051312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51312D" w:rsidRPr="0051312D" w:rsidRDefault="0051312D" w:rsidP="0051312D">
      <w:pPr>
        <w:jc w:val="both"/>
        <w:rPr>
          <w:rFonts w:asciiTheme="minorHAnsi" w:hAnsiTheme="minorHAnsi" w:cstheme="minorHAnsi"/>
          <w:sz w:val="22"/>
          <w:szCs w:val="22"/>
        </w:rPr>
      </w:pPr>
      <w:r w:rsidRPr="0099101D">
        <w:rPr>
          <w:noProof/>
        </w:rPr>
        <w:drawing>
          <wp:inline distT="0" distB="0" distL="0" distR="0" wp14:anchorId="1EBE2C4F" wp14:editId="00B69A7C">
            <wp:extent cx="5760720" cy="819150"/>
            <wp:effectExtent l="0" t="0" r="0" b="0"/>
            <wp:docPr id="79" name="Obrázek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12D" w:rsidRDefault="0051312D" w:rsidP="0093701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5367C7" w:rsidRPr="005367C7" w:rsidRDefault="005367C7" w:rsidP="005367C7">
      <w:pPr>
        <w:pStyle w:val="Normlnweb"/>
        <w:shd w:val="clear" w:color="auto" w:fill="FFFFFF"/>
        <w:spacing w:before="0" w:beforeAutospacing="0" w:after="165" w:afterAutospacing="0"/>
        <w:jc w:val="both"/>
        <w:rPr>
          <w:rFonts w:asciiTheme="minorHAnsi" w:hAnsiTheme="minorHAnsi" w:cstheme="minorHAnsi"/>
          <w:color w:val="2E74B5" w:themeColor="accent1" w:themeShade="BF"/>
        </w:rPr>
      </w:pPr>
      <w:r w:rsidRPr="005367C7">
        <w:rPr>
          <w:rFonts w:asciiTheme="minorHAnsi" w:hAnsiTheme="minorHAnsi" w:cstheme="minorHAnsi"/>
          <w:color w:val="2E74B5" w:themeColor="accent1" w:themeShade="BF"/>
        </w:rPr>
        <w:t>Hloubková analýza dopravních nehod</w:t>
      </w:r>
    </w:p>
    <w:p w:rsidR="0051312D" w:rsidRDefault="0051312D" w:rsidP="0093701C">
      <w:pPr>
        <w:jc w:val="both"/>
        <w:rPr>
          <w:rFonts w:asciiTheme="minorHAnsi" w:hAnsiTheme="minorHAnsi" w:cstheme="minorHAnsi"/>
          <w:sz w:val="22"/>
          <w:szCs w:val="22"/>
        </w:rPr>
      </w:pPr>
      <w:r w:rsidRPr="0051312D">
        <w:rPr>
          <w:rFonts w:asciiTheme="minorHAnsi" w:hAnsiTheme="minorHAnsi" w:cstheme="minorHAnsi"/>
          <w:b/>
          <w:sz w:val="22"/>
          <w:szCs w:val="22"/>
        </w:rPr>
        <w:t>Nejčastějším faktorem přispívajícím ke vzniku dopravní nehody mezi vozidlem a chodcem je nepozornost – ať už chodce nebo řidiče vozidla. U chodců</w:t>
      </w:r>
      <w:r w:rsidRPr="0051312D">
        <w:rPr>
          <w:rFonts w:asciiTheme="minorHAnsi" w:hAnsiTheme="minorHAnsi" w:cstheme="minorHAnsi"/>
          <w:sz w:val="22"/>
          <w:szCs w:val="22"/>
        </w:rPr>
        <w:t xml:space="preserve"> je často přispívajícím faktorem vzniku dopravní nehody kromě nepozornosti rovněž </w:t>
      </w:r>
      <w:r w:rsidRPr="0051312D">
        <w:rPr>
          <w:rFonts w:asciiTheme="minorHAnsi" w:hAnsiTheme="minorHAnsi" w:cstheme="minorHAnsi"/>
          <w:b/>
          <w:sz w:val="22"/>
          <w:szCs w:val="22"/>
        </w:rPr>
        <w:t xml:space="preserve">alkohol nebo vědomé nerespektování pravidel </w:t>
      </w:r>
      <w:r w:rsidRPr="0051312D">
        <w:rPr>
          <w:rFonts w:asciiTheme="minorHAnsi" w:hAnsiTheme="minorHAnsi" w:cstheme="minorHAnsi"/>
          <w:sz w:val="22"/>
          <w:szCs w:val="22"/>
        </w:rPr>
        <w:t>silničního provozu. Chodci pod vlivem alkoholu často nejsou schopni adekvátně reago</w:t>
      </w:r>
      <w:r>
        <w:rPr>
          <w:rFonts w:asciiTheme="minorHAnsi" w:hAnsiTheme="minorHAnsi" w:cstheme="minorHAnsi"/>
          <w:sz w:val="22"/>
          <w:szCs w:val="22"/>
        </w:rPr>
        <w:t>vat na situaci v </w:t>
      </w:r>
      <w:r w:rsidRPr="0051312D">
        <w:rPr>
          <w:rFonts w:asciiTheme="minorHAnsi" w:hAnsiTheme="minorHAnsi" w:cstheme="minorHAnsi"/>
          <w:sz w:val="22"/>
          <w:szCs w:val="22"/>
        </w:rPr>
        <w:t>silničním provozu ani ji správně vyhodnotit. Jejich chování je pro řidiče vozidla těžko předvídatelné.</w:t>
      </w:r>
    </w:p>
    <w:p w:rsidR="005367C7" w:rsidRDefault="005367C7" w:rsidP="0093701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51312D" w:rsidRDefault="0051312D" w:rsidP="0093701C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„</w:t>
      </w:r>
      <w:r w:rsidRPr="0051312D">
        <w:rPr>
          <w:rFonts w:asciiTheme="minorHAnsi" w:hAnsiTheme="minorHAnsi" w:cstheme="minorHAnsi"/>
          <w:i/>
          <w:sz w:val="22"/>
          <w:szCs w:val="22"/>
        </w:rPr>
        <w:t>Poznatky z Hloubkové analýzy dopravních nehod jednoznačně potvrzují také data z uplynulého roku</w:t>
      </w:r>
      <w:r>
        <w:rPr>
          <w:rFonts w:asciiTheme="minorHAnsi" w:hAnsiTheme="minorHAnsi" w:cstheme="minorHAnsi"/>
          <w:sz w:val="22"/>
          <w:szCs w:val="22"/>
        </w:rPr>
        <w:t xml:space="preserve">“, říká Mgr. Tomáš </w:t>
      </w:r>
      <w:proofErr w:type="spellStart"/>
      <w:r>
        <w:rPr>
          <w:rFonts w:asciiTheme="minorHAnsi" w:hAnsiTheme="minorHAnsi" w:cstheme="minorHAnsi"/>
          <w:sz w:val="22"/>
          <w:szCs w:val="22"/>
        </w:rPr>
        <w:t>Neřold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, </w:t>
      </w:r>
      <w:proofErr w:type="gramStart"/>
      <w:r>
        <w:rPr>
          <w:rFonts w:asciiTheme="minorHAnsi" w:hAnsiTheme="minorHAnsi" w:cstheme="minorHAnsi"/>
          <w:sz w:val="22"/>
          <w:szCs w:val="22"/>
        </w:rPr>
        <w:t>M.A.</w:t>
      </w:r>
      <w:proofErr w:type="gramEnd"/>
      <w:r>
        <w:rPr>
          <w:rFonts w:asciiTheme="minorHAnsi" w:hAnsiTheme="minorHAnsi" w:cstheme="minorHAnsi"/>
          <w:sz w:val="22"/>
          <w:szCs w:val="22"/>
        </w:rPr>
        <w:t>, vedoucí Samostatného oddělení BESIP Ministerstva dopravy a dodává: „</w:t>
      </w:r>
      <w:r w:rsidRPr="00FC7E17">
        <w:rPr>
          <w:rFonts w:asciiTheme="minorHAnsi" w:hAnsiTheme="minorHAnsi" w:cstheme="minorHAnsi"/>
          <w:b/>
          <w:i/>
          <w:sz w:val="22"/>
          <w:szCs w:val="22"/>
        </w:rPr>
        <w:t>Nejčastější příčinou usmrcení chodců byly situace, kdy se řidič plně nevěnoval řízení vozidla</w:t>
      </w:r>
      <w:r w:rsidRPr="00FC7E17">
        <w:rPr>
          <w:rFonts w:asciiTheme="minorHAnsi" w:hAnsiTheme="minorHAnsi" w:cstheme="minorHAnsi"/>
          <w:i/>
          <w:sz w:val="22"/>
          <w:szCs w:val="22"/>
        </w:rPr>
        <w:t xml:space="preserve">, v důsledku uvedené příčiny bylo usmrceno 31 chodců, tj. 28 %. </w:t>
      </w:r>
      <w:r w:rsidR="0075179A" w:rsidRPr="0075179A">
        <w:rPr>
          <w:rFonts w:asciiTheme="minorHAnsi" w:hAnsiTheme="minorHAnsi" w:cstheme="minorHAnsi"/>
          <w:i/>
          <w:sz w:val="22"/>
          <w:szCs w:val="22"/>
        </w:rPr>
        <w:t>Nejčastější příčinou těžkých zranění chodců bylo nedání přednosti chodci na vyznačeném přechodu</w:t>
      </w:r>
      <w:r w:rsidR="0075179A">
        <w:rPr>
          <w:rFonts w:asciiTheme="minorHAnsi" w:hAnsiTheme="minorHAnsi" w:cstheme="minorHAnsi"/>
          <w:i/>
          <w:sz w:val="22"/>
          <w:szCs w:val="22"/>
        </w:rPr>
        <w:t xml:space="preserve"> (189</w:t>
      </w:r>
      <w:r w:rsidR="00F37A82">
        <w:rPr>
          <w:rFonts w:asciiTheme="minorHAnsi" w:hAnsiTheme="minorHAnsi" w:cstheme="minorHAnsi"/>
          <w:i/>
          <w:sz w:val="22"/>
          <w:szCs w:val="22"/>
        </w:rPr>
        <w:t>;</w:t>
      </w:r>
      <w:r w:rsidR="0075179A">
        <w:rPr>
          <w:rFonts w:asciiTheme="minorHAnsi" w:hAnsiTheme="minorHAnsi" w:cstheme="minorHAnsi"/>
          <w:i/>
          <w:sz w:val="22"/>
          <w:szCs w:val="22"/>
        </w:rPr>
        <w:t xml:space="preserve"> 37 %). </w:t>
      </w:r>
      <w:r w:rsidR="00FC7E17" w:rsidRPr="00FC7E17">
        <w:rPr>
          <w:rFonts w:asciiTheme="minorHAnsi" w:hAnsiTheme="minorHAnsi" w:cstheme="minorHAnsi"/>
          <w:b/>
          <w:i/>
          <w:sz w:val="22"/>
          <w:szCs w:val="22"/>
        </w:rPr>
        <w:t xml:space="preserve">Vlastní vinou bylo usmrceno 20, resp. těžce zraněno 106 chodců, tzn. jen přibližně pětina z uvedených následků chodců! Téměř 2/3 chodců usmrtili </w:t>
      </w:r>
      <w:r w:rsidR="00FC7E17" w:rsidRPr="00FC7E17">
        <w:rPr>
          <w:rFonts w:asciiTheme="minorHAnsi" w:hAnsiTheme="minorHAnsi" w:cstheme="minorHAnsi"/>
          <w:i/>
          <w:sz w:val="22"/>
          <w:szCs w:val="22"/>
        </w:rPr>
        <w:t xml:space="preserve">(64 chodců, tj. 61 %), </w:t>
      </w:r>
      <w:r w:rsidR="00FC7E17" w:rsidRPr="00FC7E17">
        <w:rPr>
          <w:rFonts w:asciiTheme="minorHAnsi" w:hAnsiTheme="minorHAnsi" w:cstheme="minorHAnsi"/>
          <w:b/>
          <w:i/>
          <w:sz w:val="22"/>
          <w:szCs w:val="22"/>
        </w:rPr>
        <w:t>resp. těžce zranili</w:t>
      </w:r>
      <w:r w:rsidR="00FC7E17" w:rsidRPr="00FC7E17">
        <w:rPr>
          <w:rFonts w:asciiTheme="minorHAnsi" w:hAnsiTheme="minorHAnsi" w:cstheme="minorHAnsi"/>
          <w:i/>
          <w:sz w:val="22"/>
          <w:szCs w:val="22"/>
        </w:rPr>
        <w:t xml:space="preserve"> (321 chodců, 65 %) </w:t>
      </w:r>
      <w:r w:rsidR="00FC7E17" w:rsidRPr="00FC7E17">
        <w:rPr>
          <w:rFonts w:asciiTheme="minorHAnsi" w:hAnsiTheme="minorHAnsi" w:cstheme="minorHAnsi"/>
          <w:b/>
          <w:i/>
          <w:sz w:val="22"/>
          <w:szCs w:val="22"/>
        </w:rPr>
        <w:t>řidiči osobních vozidel</w:t>
      </w:r>
      <w:r w:rsidR="00FC7E17" w:rsidRPr="00FC7E17">
        <w:rPr>
          <w:rFonts w:asciiTheme="minorHAnsi" w:hAnsiTheme="minorHAnsi" w:cstheme="minorHAnsi"/>
          <w:i/>
          <w:sz w:val="22"/>
          <w:szCs w:val="22"/>
        </w:rPr>
        <w:t>. Vinou řidičů nákladních vozidel pak bylo usmrceno 8 a těžce zraněno 47 chodců.</w:t>
      </w:r>
      <w:r w:rsidR="00FC7E17">
        <w:rPr>
          <w:rFonts w:asciiTheme="minorHAnsi" w:hAnsiTheme="minorHAnsi" w:cstheme="minorHAnsi"/>
          <w:sz w:val="22"/>
          <w:szCs w:val="22"/>
        </w:rPr>
        <w:t>“</w:t>
      </w:r>
    </w:p>
    <w:p w:rsidR="00407371" w:rsidRDefault="00407371" w:rsidP="0093701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5367C7" w:rsidRDefault="005367C7" w:rsidP="0093701C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49477E69" wp14:editId="56C94FFE">
            <wp:extent cx="5760720" cy="3722370"/>
            <wp:effectExtent l="0" t="0" r="11430" b="11430"/>
            <wp:docPr id="76" name="Graf 7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367C7" w:rsidRDefault="005367C7" w:rsidP="0093701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407371" w:rsidRDefault="00407371" w:rsidP="0093701C">
      <w:pPr>
        <w:jc w:val="both"/>
        <w:rPr>
          <w:rFonts w:asciiTheme="minorHAnsi" w:hAnsiTheme="minorHAnsi" w:cstheme="minorHAnsi"/>
          <w:sz w:val="22"/>
          <w:szCs w:val="22"/>
        </w:rPr>
      </w:pPr>
      <w:r w:rsidRPr="00407371">
        <w:rPr>
          <w:rFonts w:asciiTheme="minorHAnsi" w:hAnsiTheme="minorHAnsi" w:cstheme="minorHAnsi"/>
          <w:b/>
          <w:sz w:val="22"/>
          <w:szCs w:val="22"/>
        </w:rPr>
        <w:t>Nejvíce chodců bylo usmrceno (40) a také těžce zraněno (189) ve věkové kategorii 65 a více let</w:t>
      </w:r>
      <w:r w:rsidRPr="00407371">
        <w:rPr>
          <w:rFonts w:asciiTheme="minorHAnsi" w:hAnsiTheme="minorHAnsi" w:cstheme="minorHAnsi"/>
          <w:sz w:val="22"/>
          <w:szCs w:val="22"/>
        </w:rPr>
        <w:t>, s 18 usmrcenými následovala věková kategorie 35-44 let, resp. se 75 těžce zraněnými pak věková kategorie nejmladších účastníků silničního provozu – chodci ve věku 0-14 let.</w:t>
      </w:r>
    </w:p>
    <w:p w:rsidR="0086419B" w:rsidRDefault="0086419B" w:rsidP="0093701C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86419B" w:rsidRPr="0086419B" w:rsidRDefault="00C628BB" w:rsidP="0086419B">
      <w:pPr>
        <w:pStyle w:val="Normlnweb"/>
        <w:shd w:val="clear" w:color="auto" w:fill="FFFFFF"/>
        <w:spacing w:before="0" w:beforeAutospacing="0" w:after="165" w:afterAutospacing="0"/>
        <w:jc w:val="both"/>
        <w:rPr>
          <w:rFonts w:asciiTheme="minorHAnsi" w:hAnsiTheme="minorHAnsi" w:cstheme="minorHAnsi"/>
          <w:color w:val="2E74B5" w:themeColor="accent1" w:themeShade="BF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3460750</wp:posOffset>
            </wp:positionH>
            <wp:positionV relativeFrom="paragraph">
              <wp:posOffset>295275</wp:posOffset>
            </wp:positionV>
            <wp:extent cx="2295525" cy="2295525"/>
            <wp:effectExtent l="0" t="0" r="9525" b="9525"/>
            <wp:wrapTight wrapText="bothSides">
              <wp:wrapPolygon edited="0">
                <wp:start x="0" y="0"/>
                <wp:lineTo x="0" y="21510"/>
                <wp:lineTo x="21510" y="21510"/>
                <wp:lineTo x="21510" y="0"/>
                <wp:lineTo x="0" y="0"/>
              </wp:wrapPolygon>
            </wp:wrapTight>
            <wp:docPr id="1" name="Obrázek 1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419B" w:rsidRPr="0086419B">
        <w:rPr>
          <w:rFonts w:asciiTheme="minorHAnsi" w:hAnsiTheme="minorHAnsi" w:cstheme="minorHAnsi"/>
          <w:color w:val="2E74B5" w:themeColor="accent1" w:themeShade="BF"/>
        </w:rPr>
        <w:t>Většina chodců stále umírá v noci</w:t>
      </w:r>
    </w:p>
    <w:p w:rsidR="0051312D" w:rsidRDefault="0051312D" w:rsidP="0051312D">
      <w:pPr>
        <w:jc w:val="both"/>
        <w:rPr>
          <w:rFonts w:asciiTheme="minorHAnsi" w:hAnsiTheme="minorHAnsi" w:cstheme="minorHAnsi"/>
          <w:sz w:val="22"/>
          <w:szCs w:val="22"/>
        </w:rPr>
      </w:pPr>
      <w:r w:rsidRPr="00FC7E17">
        <w:rPr>
          <w:rFonts w:asciiTheme="minorHAnsi" w:hAnsiTheme="minorHAnsi" w:cstheme="minorHAnsi"/>
          <w:b/>
          <w:sz w:val="22"/>
          <w:szCs w:val="22"/>
        </w:rPr>
        <w:t xml:space="preserve">V období let 2005-2018 bylo usmrceno 58 % chodců právě v noci. </w:t>
      </w:r>
      <w:r w:rsidRPr="0051312D">
        <w:rPr>
          <w:rFonts w:asciiTheme="minorHAnsi" w:hAnsiTheme="minorHAnsi" w:cstheme="minorHAnsi"/>
          <w:sz w:val="22"/>
          <w:szCs w:val="22"/>
        </w:rPr>
        <w:t>V roce 2018 bylo v noci usmrceno 58 chodců (tj. 51 %), zatímco ve dne 55 chodců. Nejvyšší podíl usmrcených chodců v noci byl evidován v roce 2007 (67 %), naopak nejnižší v roce 2018 (51 %).</w:t>
      </w:r>
    </w:p>
    <w:p w:rsidR="0051312D" w:rsidRPr="0051312D" w:rsidRDefault="0051312D" w:rsidP="0051312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6419B" w:rsidRDefault="0051312D" w:rsidP="0051312D">
      <w:pPr>
        <w:jc w:val="both"/>
        <w:rPr>
          <w:rFonts w:asciiTheme="minorHAnsi" w:hAnsiTheme="minorHAnsi" w:cstheme="minorHAnsi"/>
          <w:sz w:val="22"/>
          <w:szCs w:val="22"/>
        </w:rPr>
      </w:pPr>
      <w:r w:rsidRPr="0051312D">
        <w:rPr>
          <w:rFonts w:asciiTheme="minorHAnsi" w:hAnsiTheme="minorHAnsi" w:cstheme="minorHAnsi"/>
          <w:sz w:val="22"/>
          <w:szCs w:val="22"/>
        </w:rPr>
        <w:t xml:space="preserve">Při </w:t>
      </w:r>
      <w:r w:rsidRPr="0051312D">
        <w:rPr>
          <w:rFonts w:asciiTheme="minorHAnsi" w:hAnsiTheme="minorHAnsi" w:cstheme="minorHAnsi"/>
          <w:b/>
          <w:sz w:val="22"/>
          <w:szCs w:val="22"/>
        </w:rPr>
        <w:t>zhoršené viditelnosti</w:t>
      </w:r>
      <w:r w:rsidRPr="0051312D">
        <w:rPr>
          <w:rFonts w:asciiTheme="minorHAnsi" w:hAnsiTheme="minorHAnsi" w:cstheme="minorHAnsi"/>
          <w:sz w:val="22"/>
          <w:szCs w:val="22"/>
        </w:rPr>
        <w:t xml:space="preserve"> bylo v roce 2018 usmrceno 18 chodců (9 ve dne a 9 v noci), tj. 16% podíl na všech usmrcených chodcích. Mimo obec pak bylo usmrceno 5 chodců (4 v noci a 1 ve dne). Při zhoršené viditelnosti bylo v roce 2018 těžce zraněno 83 chodců (51 ve dne a 32 v noci), tj. 16% podíl na všech těžce zraněných chodcích. Mimo obec pak bylo těžce zraněno 8 chodců (6 v noci a 2 ve dne).</w:t>
      </w:r>
    </w:p>
    <w:p w:rsidR="0075179A" w:rsidRDefault="0075179A" w:rsidP="0051312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5179A" w:rsidRDefault="0075179A" w:rsidP="0051312D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Nejvíce chodců bylo v roce 2018 usmrceno na silnicích I. tříd (26), těžce zraněno (183) pak na místních komunikacích.</w:t>
      </w:r>
      <w:r w:rsidR="00F37A82">
        <w:rPr>
          <w:rFonts w:asciiTheme="minorHAnsi" w:hAnsiTheme="minorHAnsi" w:cstheme="minorHAnsi"/>
          <w:sz w:val="22"/>
          <w:szCs w:val="22"/>
        </w:rPr>
        <w:t xml:space="preserve"> „</w:t>
      </w:r>
      <w:r w:rsidR="00F37A82" w:rsidRPr="00F37A82">
        <w:rPr>
          <w:rFonts w:asciiTheme="minorHAnsi" w:hAnsiTheme="minorHAnsi" w:cstheme="minorHAnsi"/>
          <w:i/>
          <w:sz w:val="22"/>
          <w:szCs w:val="22"/>
        </w:rPr>
        <w:t>V obci bylo usmrceno 77 chodců (68 %), těžce zraněno pak dalších 475 chodců (92 %),</w:t>
      </w:r>
      <w:r w:rsidR="00F37A82">
        <w:rPr>
          <w:rFonts w:asciiTheme="minorHAnsi" w:hAnsiTheme="minorHAnsi" w:cstheme="minorHAnsi"/>
          <w:sz w:val="22"/>
          <w:szCs w:val="22"/>
        </w:rPr>
        <w:t xml:space="preserve">“ říká Ing. Jindřich Frič, Ph.D., ředitel Centra dopravního výzkumu, </w:t>
      </w:r>
      <w:proofErr w:type="spellStart"/>
      <w:proofErr w:type="gramStart"/>
      <w:r w:rsidR="00F37A82">
        <w:rPr>
          <w:rFonts w:asciiTheme="minorHAnsi" w:hAnsiTheme="minorHAnsi" w:cstheme="minorHAnsi"/>
          <w:sz w:val="22"/>
          <w:szCs w:val="22"/>
        </w:rPr>
        <w:t>v.v.</w:t>
      </w:r>
      <w:proofErr w:type="gramEnd"/>
      <w:r w:rsidR="00F37A82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="00F37A82">
        <w:rPr>
          <w:rFonts w:asciiTheme="minorHAnsi" w:hAnsiTheme="minorHAnsi" w:cstheme="minorHAnsi"/>
          <w:sz w:val="22"/>
          <w:szCs w:val="22"/>
        </w:rPr>
        <w:t xml:space="preserve">. </w:t>
      </w:r>
      <w:r w:rsidR="006F3C2A">
        <w:rPr>
          <w:rFonts w:asciiTheme="minorHAnsi" w:hAnsiTheme="minorHAnsi" w:cstheme="minorHAnsi"/>
          <w:sz w:val="22"/>
          <w:szCs w:val="22"/>
        </w:rPr>
        <w:t xml:space="preserve">(CDV) </w:t>
      </w:r>
      <w:r w:rsidR="00F37A82">
        <w:rPr>
          <w:rFonts w:asciiTheme="minorHAnsi" w:hAnsiTheme="minorHAnsi" w:cstheme="minorHAnsi"/>
          <w:sz w:val="22"/>
          <w:szCs w:val="22"/>
        </w:rPr>
        <w:t>a dodává: „</w:t>
      </w:r>
      <w:r w:rsidR="00F37A82" w:rsidRPr="00F37A82">
        <w:rPr>
          <w:rFonts w:asciiTheme="minorHAnsi" w:hAnsiTheme="minorHAnsi" w:cstheme="minorHAnsi"/>
          <w:i/>
          <w:sz w:val="22"/>
          <w:szCs w:val="22"/>
        </w:rPr>
        <w:t xml:space="preserve">Jak z loňských, tak z dlouhodobých dat je zřejmé, že </w:t>
      </w:r>
      <w:r w:rsidR="00F37A82" w:rsidRPr="00F37A82">
        <w:rPr>
          <w:rFonts w:asciiTheme="minorHAnsi" w:hAnsiTheme="minorHAnsi" w:cstheme="minorHAnsi"/>
          <w:b/>
          <w:i/>
          <w:sz w:val="22"/>
          <w:szCs w:val="22"/>
        </w:rPr>
        <w:t>k závažným následkům chodců dochází v drtivé většině v obcích</w:t>
      </w:r>
      <w:r w:rsidR="00F37A82" w:rsidRPr="00F37A82">
        <w:rPr>
          <w:rFonts w:asciiTheme="minorHAnsi" w:hAnsiTheme="minorHAnsi" w:cstheme="minorHAnsi"/>
          <w:i/>
          <w:sz w:val="22"/>
          <w:szCs w:val="22"/>
        </w:rPr>
        <w:t xml:space="preserve">. Ačkoli legislativa zavedla povinnost </w:t>
      </w:r>
      <w:proofErr w:type="spellStart"/>
      <w:r w:rsidR="00F37A82" w:rsidRPr="00F37A82">
        <w:rPr>
          <w:rFonts w:asciiTheme="minorHAnsi" w:hAnsiTheme="minorHAnsi" w:cstheme="minorHAnsi"/>
          <w:i/>
          <w:sz w:val="22"/>
          <w:szCs w:val="22"/>
        </w:rPr>
        <w:t>retroreflexních</w:t>
      </w:r>
      <w:proofErr w:type="spellEnd"/>
      <w:r w:rsidR="00F37A82" w:rsidRPr="00F37A82">
        <w:rPr>
          <w:rFonts w:asciiTheme="minorHAnsi" w:hAnsiTheme="minorHAnsi" w:cstheme="minorHAnsi"/>
          <w:i/>
          <w:sz w:val="22"/>
          <w:szCs w:val="22"/>
        </w:rPr>
        <w:t xml:space="preserve"> prvků ve vymezených případech pouze mimo obec, </w:t>
      </w:r>
      <w:r w:rsidR="00F37A82" w:rsidRPr="00F37A82">
        <w:rPr>
          <w:rFonts w:asciiTheme="minorHAnsi" w:hAnsiTheme="minorHAnsi" w:cstheme="minorHAnsi"/>
          <w:b/>
          <w:i/>
          <w:sz w:val="22"/>
          <w:szCs w:val="22"/>
        </w:rPr>
        <w:t xml:space="preserve">doporučujeme chodcům, kteří patří k nejzranitelnějším účastníkům silničního provozu, aby tyto prvky používali bez ohledu na to, </w:t>
      </w:r>
      <w:proofErr w:type="gramStart"/>
      <w:r w:rsidR="00F37A82" w:rsidRPr="00F37A82">
        <w:rPr>
          <w:rFonts w:asciiTheme="minorHAnsi" w:hAnsiTheme="minorHAnsi" w:cstheme="minorHAnsi"/>
          <w:b/>
          <w:i/>
          <w:sz w:val="22"/>
          <w:szCs w:val="22"/>
        </w:rPr>
        <w:t>zda-</w:t>
      </w:r>
      <w:proofErr w:type="spellStart"/>
      <w:r w:rsidR="00F37A82" w:rsidRPr="00F37A82">
        <w:rPr>
          <w:rFonts w:asciiTheme="minorHAnsi" w:hAnsiTheme="minorHAnsi" w:cstheme="minorHAnsi"/>
          <w:b/>
          <w:i/>
          <w:sz w:val="22"/>
          <w:szCs w:val="22"/>
        </w:rPr>
        <w:t>li</w:t>
      </w:r>
      <w:proofErr w:type="spellEnd"/>
      <w:r w:rsidR="00F37A82" w:rsidRPr="00F37A82">
        <w:rPr>
          <w:rFonts w:asciiTheme="minorHAnsi" w:hAnsiTheme="minorHAnsi" w:cstheme="minorHAnsi"/>
          <w:b/>
          <w:i/>
          <w:sz w:val="22"/>
          <w:szCs w:val="22"/>
        </w:rPr>
        <w:t xml:space="preserve"> se</w:t>
      </w:r>
      <w:proofErr w:type="gramEnd"/>
      <w:r w:rsidR="00F37A82" w:rsidRPr="00F37A82">
        <w:rPr>
          <w:rFonts w:asciiTheme="minorHAnsi" w:hAnsiTheme="minorHAnsi" w:cstheme="minorHAnsi"/>
          <w:b/>
          <w:i/>
          <w:sz w:val="22"/>
          <w:szCs w:val="22"/>
        </w:rPr>
        <w:t xml:space="preserve"> pohybují v obci nebo mimo ni. Viditelnost zásadním způsobem zvyšuje bezpečnost – chodec vybavený </w:t>
      </w:r>
      <w:proofErr w:type="spellStart"/>
      <w:r w:rsidR="00F37A82" w:rsidRPr="00F37A82">
        <w:rPr>
          <w:rFonts w:asciiTheme="minorHAnsi" w:hAnsiTheme="minorHAnsi" w:cstheme="minorHAnsi"/>
          <w:b/>
          <w:i/>
          <w:sz w:val="22"/>
          <w:szCs w:val="22"/>
        </w:rPr>
        <w:t>relfexním</w:t>
      </w:r>
      <w:proofErr w:type="spellEnd"/>
      <w:r w:rsidR="00F37A82" w:rsidRPr="00F37A82">
        <w:rPr>
          <w:rFonts w:asciiTheme="minorHAnsi" w:hAnsiTheme="minorHAnsi" w:cstheme="minorHAnsi"/>
          <w:b/>
          <w:i/>
          <w:sz w:val="22"/>
          <w:szCs w:val="22"/>
        </w:rPr>
        <w:t xml:space="preserve"> prvkem je řidiči </w:t>
      </w:r>
      <w:r w:rsidR="00D52EA0">
        <w:rPr>
          <w:rFonts w:asciiTheme="minorHAnsi" w:hAnsiTheme="minorHAnsi" w:cstheme="minorHAnsi"/>
          <w:b/>
          <w:i/>
          <w:sz w:val="22"/>
          <w:szCs w:val="22"/>
        </w:rPr>
        <w:t xml:space="preserve">motorových vozidel viděn až na </w:t>
      </w:r>
      <w:r w:rsidR="00D52EA0">
        <w:rPr>
          <w:rFonts w:asciiTheme="minorHAnsi" w:hAnsiTheme="minorHAnsi" w:cstheme="minorHAnsi"/>
          <w:b/>
          <w:i/>
          <w:sz w:val="22"/>
          <w:szCs w:val="22"/>
        </w:rPr>
        <w:lastRenderedPageBreak/>
        <w:t>200 </w:t>
      </w:r>
      <w:r w:rsidR="00F37A82" w:rsidRPr="00F37A82">
        <w:rPr>
          <w:rFonts w:asciiTheme="minorHAnsi" w:hAnsiTheme="minorHAnsi" w:cstheme="minorHAnsi"/>
          <w:b/>
          <w:i/>
          <w:sz w:val="22"/>
          <w:szCs w:val="22"/>
        </w:rPr>
        <w:t>m</w:t>
      </w:r>
      <w:r w:rsidR="00D52EA0">
        <w:rPr>
          <w:rFonts w:asciiTheme="minorHAnsi" w:hAnsiTheme="minorHAnsi" w:cstheme="minorHAnsi"/>
          <w:b/>
          <w:i/>
          <w:sz w:val="22"/>
          <w:szCs w:val="22"/>
        </w:rPr>
        <w:t>, což je dostatečná vzdálenost pro adekvátní reakci</w:t>
      </w:r>
      <w:r w:rsidR="00F37A82" w:rsidRPr="00F37A82">
        <w:rPr>
          <w:rFonts w:asciiTheme="minorHAnsi" w:hAnsiTheme="minorHAnsi" w:cstheme="minorHAnsi"/>
          <w:b/>
          <w:i/>
          <w:sz w:val="22"/>
          <w:szCs w:val="22"/>
        </w:rPr>
        <w:t>.</w:t>
      </w:r>
      <w:r w:rsidR="00763BDE">
        <w:rPr>
          <w:rFonts w:asciiTheme="minorHAnsi" w:hAnsiTheme="minorHAnsi" w:cstheme="minorHAnsi"/>
          <w:b/>
          <w:i/>
          <w:sz w:val="22"/>
          <w:szCs w:val="22"/>
        </w:rPr>
        <w:t xml:space="preserve"> Je nutné si uvědomit, že tak triviální věc, jakou je např. </w:t>
      </w:r>
      <w:proofErr w:type="spellStart"/>
      <w:r w:rsidR="00763BDE">
        <w:rPr>
          <w:rFonts w:asciiTheme="minorHAnsi" w:hAnsiTheme="minorHAnsi" w:cstheme="minorHAnsi"/>
          <w:b/>
          <w:i/>
          <w:sz w:val="22"/>
          <w:szCs w:val="22"/>
        </w:rPr>
        <w:t>retroreflexní</w:t>
      </w:r>
      <w:proofErr w:type="spellEnd"/>
      <w:r w:rsidR="00763BDE">
        <w:rPr>
          <w:rFonts w:asciiTheme="minorHAnsi" w:hAnsiTheme="minorHAnsi" w:cstheme="minorHAnsi"/>
          <w:b/>
          <w:i/>
          <w:sz w:val="22"/>
          <w:szCs w:val="22"/>
        </w:rPr>
        <w:t xml:space="preserve"> páska v hodnotě několika desetikorun</w:t>
      </w:r>
      <w:r w:rsidR="00D52EA0">
        <w:rPr>
          <w:rFonts w:asciiTheme="minorHAnsi" w:hAnsiTheme="minorHAnsi" w:cstheme="minorHAnsi"/>
          <w:b/>
          <w:i/>
          <w:sz w:val="22"/>
          <w:szCs w:val="22"/>
        </w:rPr>
        <w:t>,</w:t>
      </w:r>
      <w:r w:rsidR="00763BDE">
        <w:rPr>
          <w:rFonts w:asciiTheme="minorHAnsi" w:hAnsiTheme="minorHAnsi" w:cstheme="minorHAnsi"/>
          <w:b/>
          <w:i/>
          <w:sz w:val="22"/>
          <w:szCs w:val="22"/>
        </w:rPr>
        <w:t xml:space="preserve"> může zachránit život!</w:t>
      </w:r>
      <w:r w:rsidR="00F37A82">
        <w:rPr>
          <w:rFonts w:asciiTheme="minorHAnsi" w:hAnsiTheme="minorHAnsi" w:cstheme="minorHAnsi"/>
          <w:sz w:val="22"/>
          <w:szCs w:val="22"/>
        </w:rPr>
        <w:t>“</w:t>
      </w:r>
    </w:p>
    <w:p w:rsidR="00F37A82" w:rsidRDefault="00F37A82" w:rsidP="0051312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37A82" w:rsidRDefault="00F37A82" w:rsidP="00F37A82">
      <w:pPr>
        <w:jc w:val="both"/>
        <w:rPr>
          <w:rFonts w:asciiTheme="minorHAnsi" w:hAnsiTheme="minorHAnsi" w:cstheme="minorHAnsi"/>
          <w:sz w:val="22"/>
          <w:szCs w:val="22"/>
        </w:rPr>
      </w:pPr>
      <w:r w:rsidRPr="0075179A">
        <w:rPr>
          <w:rFonts w:asciiTheme="minorHAnsi" w:hAnsiTheme="minorHAnsi" w:cstheme="minorHAnsi"/>
          <w:i/>
          <w:sz w:val="22"/>
          <w:szCs w:val="22"/>
        </w:rPr>
        <w:t xml:space="preserve">Pozn. Novela účinná od 20. 2. 2016 – viz § 53 odst. 9 zákona č. 361/200 Sb.: Pohybuje-li se chodec mimo obec za snížené viditelnosti po krajnici nebo po okraji vozovky v místě, které není osvětleno veřejným osvětlením, je povinen mít na sobě prvky z </w:t>
      </w:r>
      <w:proofErr w:type="spellStart"/>
      <w:r w:rsidRPr="0075179A">
        <w:rPr>
          <w:rFonts w:asciiTheme="minorHAnsi" w:hAnsiTheme="minorHAnsi" w:cstheme="minorHAnsi"/>
          <w:i/>
          <w:sz w:val="22"/>
          <w:szCs w:val="22"/>
        </w:rPr>
        <w:t>retroreflexního</w:t>
      </w:r>
      <w:proofErr w:type="spellEnd"/>
      <w:r w:rsidRPr="0075179A">
        <w:rPr>
          <w:rFonts w:asciiTheme="minorHAnsi" w:hAnsiTheme="minorHAnsi" w:cstheme="minorHAnsi"/>
          <w:i/>
          <w:sz w:val="22"/>
          <w:szCs w:val="22"/>
        </w:rPr>
        <w:t xml:space="preserve"> materiálu umístěné tak, aby byly viditelné pro ostatní účastníky provozu na pozemních komunikacích.</w:t>
      </w:r>
    </w:p>
    <w:p w:rsidR="00F37A82" w:rsidRPr="0075179A" w:rsidRDefault="00F37A82" w:rsidP="0051312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C7E17" w:rsidRDefault="0075179A" w:rsidP="0051312D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noProof/>
        </w:rPr>
        <w:drawing>
          <wp:inline distT="0" distB="0" distL="0" distR="0" wp14:anchorId="1243BA90" wp14:editId="4B58D524">
            <wp:extent cx="5760720" cy="3721100"/>
            <wp:effectExtent l="0" t="0" r="11430" b="12700"/>
            <wp:docPr id="39" name="Graf 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1E357E" w:rsidRDefault="001E357E" w:rsidP="0093701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62B04" w:rsidRPr="00662B04" w:rsidRDefault="00662B04" w:rsidP="00662B04">
      <w:pPr>
        <w:pStyle w:val="Normlnweb"/>
        <w:shd w:val="clear" w:color="auto" w:fill="FFFFFF"/>
        <w:spacing w:before="0" w:beforeAutospacing="0" w:after="165" w:afterAutospacing="0"/>
        <w:jc w:val="both"/>
        <w:rPr>
          <w:rFonts w:asciiTheme="minorHAnsi" w:hAnsiTheme="minorHAnsi" w:cstheme="minorHAnsi"/>
          <w:color w:val="2E74B5" w:themeColor="accent1" w:themeShade="BF"/>
        </w:rPr>
      </w:pPr>
      <w:r w:rsidRPr="00662B04">
        <w:rPr>
          <w:rFonts w:asciiTheme="minorHAnsi" w:hAnsiTheme="minorHAnsi" w:cstheme="minorHAnsi"/>
          <w:color w:val="2E74B5" w:themeColor="accent1" w:themeShade="BF"/>
        </w:rPr>
        <w:t>Krajské srovnání</w:t>
      </w:r>
      <w:r w:rsidR="00407371">
        <w:rPr>
          <w:rFonts w:asciiTheme="minorHAnsi" w:hAnsiTheme="minorHAnsi" w:cstheme="minorHAnsi"/>
          <w:color w:val="2E74B5" w:themeColor="accent1" w:themeShade="BF"/>
        </w:rPr>
        <w:t>, l</w:t>
      </w:r>
      <w:r w:rsidR="00407371" w:rsidRPr="00407371">
        <w:rPr>
          <w:rFonts w:asciiTheme="minorHAnsi" w:hAnsiTheme="minorHAnsi" w:cstheme="minorHAnsi"/>
          <w:color w:val="2E74B5" w:themeColor="accent1" w:themeShade="BF"/>
        </w:rPr>
        <w:t>okalizace závažných nehod</w:t>
      </w:r>
    </w:p>
    <w:p w:rsidR="00582E93" w:rsidRDefault="0051312D" w:rsidP="0093701C">
      <w:pPr>
        <w:jc w:val="both"/>
        <w:rPr>
          <w:rFonts w:asciiTheme="minorHAnsi" w:hAnsiTheme="minorHAnsi" w:cstheme="minorHAnsi"/>
          <w:sz w:val="22"/>
          <w:szCs w:val="22"/>
        </w:rPr>
      </w:pPr>
      <w:r w:rsidRPr="0051312D">
        <w:rPr>
          <w:rFonts w:asciiTheme="minorHAnsi" w:hAnsiTheme="minorHAnsi" w:cstheme="minorHAnsi"/>
          <w:b/>
          <w:sz w:val="22"/>
          <w:szCs w:val="22"/>
        </w:rPr>
        <w:t>Zásadní vliv na meziroční nárůst usmrcených chodců měla situace v hl. m. Praze, kde bylo usmrceno 25 chodců (81 % ze všech usmrcených osob), meziročně o 14 více!</w:t>
      </w:r>
      <w:r w:rsidRPr="0051312D">
        <w:rPr>
          <w:rFonts w:asciiTheme="minorHAnsi" w:hAnsiTheme="minorHAnsi" w:cstheme="minorHAnsi"/>
          <w:sz w:val="22"/>
          <w:szCs w:val="22"/>
        </w:rPr>
        <w:t xml:space="preserve"> Výrazný nárůst (+8) byl evidován také v Jihomoravském kraji, kde bylo usmrceno 15 chodců. Nejvyšší meziroční nárůst těžce zraněných chodců (+12) byl evidován v hl. m. Praze (95 těžce zraněných chodců, podíl 52 % na všech těžce zraněných), resp. v Královéhradeckém kraji (26 těžce zraněných chodců).</w:t>
      </w:r>
    </w:p>
    <w:p w:rsidR="0051312D" w:rsidRPr="0051312D" w:rsidRDefault="0051312D" w:rsidP="0093701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87BC7" w:rsidRPr="00AF4EC0" w:rsidRDefault="007150E5" w:rsidP="0093701C">
      <w:pPr>
        <w:jc w:val="both"/>
        <w:rPr>
          <w:rFonts w:asciiTheme="minorHAnsi" w:hAnsiTheme="minorHAnsi" w:cstheme="minorHAnsi"/>
          <w:sz w:val="22"/>
          <w:szCs w:val="22"/>
        </w:rPr>
      </w:pPr>
      <w:r w:rsidRPr="007150E5">
        <w:rPr>
          <w:rFonts w:asciiTheme="minorHAnsi" w:hAnsiTheme="minorHAnsi" w:cstheme="minorHAnsi"/>
          <w:sz w:val="22"/>
          <w:szCs w:val="22"/>
        </w:rPr>
        <w:t>Závažné následky nehod chodců v roce 2018, tzn. usmrcení a těžce zranění, jsou uvedeny v mapových podkladech z aplikace DOPRAVNÍ NEHODY V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7150E5">
        <w:rPr>
          <w:rFonts w:asciiTheme="minorHAnsi" w:hAnsiTheme="minorHAnsi" w:cstheme="minorHAnsi"/>
          <w:sz w:val="22"/>
          <w:szCs w:val="22"/>
        </w:rPr>
        <w:t>ČR</w:t>
      </w:r>
      <w:r>
        <w:rPr>
          <w:rFonts w:asciiTheme="minorHAnsi" w:hAnsiTheme="minorHAnsi" w:cstheme="minorHAnsi"/>
          <w:sz w:val="22"/>
          <w:szCs w:val="22"/>
        </w:rPr>
        <w:t xml:space="preserve"> (</w:t>
      </w:r>
      <w:r w:rsidRPr="007150E5">
        <w:rPr>
          <w:rFonts w:asciiTheme="minorHAnsi" w:hAnsiTheme="minorHAnsi" w:cstheme="minorHAnsi"/>
          <w:sz w:val="22"/>
          <w:szCs w:val="22"/>
        </w:rPr>
        <w:t>https://</w:t>
      </w:r>
      <w:proofErr w:type="gramStart"/>
      <w:r w:rsidRPr="007150E5">
        <w:rPr>
          <w:rFonts w:asciiTheme="minorHAnsi" w:hAnsiTheme="minorHAnsi" w:cstheme="minorHAnsi"/>
          <w:b/>
          <w:sz w:val="22"/>
          <w:szCs w:val="22"/>
        </w:rPr>
        <w:t>nehody.cdv</w:t>
      </w:r>
      <w:proofErr w:type="gramEnd"/>
      <w:r w:rsidRPr="007150E5">
        <w:rPr>
          <w:rFonts w:asciiTheme="minorHAnsi" w:hAnsiTheme="minorHAnsi" w:cstheme="minorHAnsi"/>
          <w:b/>
          <w:sz w:val="22"/>
          <w:szCs w:val="22"/>
        </w:rPr>
        <w:t>.cz</w:t>
      </w:r>
      <w:r w:rsidRPr="007150E5">
        <w:rPr>
          <w:rFonts w:asciiTheme="minorHAnsi" w:hAnsiTheme="minorHAnsi" w:cstheme="minorHAnsi"/>
          <w:sz w:val="22"/>
          <w:szCs w:val="22"/>
        </w:rPr>
        <w:t>/</w:t>
      </w:r>
      <w:r>
        <w:rPr>
          <w:rFonts w:asciiTheme="minorHAnsi" w:hAnsiTheme="minorHAnsi" w:cstheme="minorHAnsi"/>
          <w:sz w:val="22"/>
          <w:szCs w:val="22"/>
        </w:rPr>
        <w:t>)</w:t>
      </w:r>
      <w:r w:rsidRPr="007150E5">
        <w:rPr>
          <w:rFonts w:asciiTheme="minorHAnsi" w:hAnsiTheme="minorHAnsi" w:cstheme="minorHAnsi"/>
          <w:sz w:val="22"/>
          <w:szCs w:val="22"/>
        </w:rPr>
        <w:t>. Předdefinovány byly příslušné filtry tak, aby bylo na první pohled zřetelné, kde došlo v uplynulém roce k usmrcení, resp. těžkým zraněním. Součástí detailů nehod jsou desítky důležitých informací. Změnou územní jednotky lze zobrazit detailněji uvedené nehody např. v rámci konkrétního kraje.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7150E5">
        <w:rPr>
          <w:rFonts w:asciiTheme="minorHAnsi" w:hAnsiTheme="minorHAnsi" w:cstheme="minorHAnsi"/>
          <w:sz w:val="22"/>
          <w:szCs w:val="22"/>
        </w:rPr>
        <w:t xml:space="preserve">Pozn. pro otevření interaktivní </w:t>
      </w:r>
      <w:r w:rsidRPr="00AF4EC0">
        <w:rPr>
          <w:rFonts w:asciiTheme="minorHAnsi" w:hAnsiTheme="minorHAnsi" w:cstheme="minorHAnsi"/>
          <w:sz w:val="22"/>
          <w:szCs w:val="22"/>
        </w:rPr>
        <w:t xml:space="preserve">mapy v prohlížeči klikněte na mapu, příp. </w:t>
      </w:r>
      <w:hyperlink r:id="rId12" w:history="1">
        <w:r w:rsidRPr="00AF4EC0">
          <w:rPr>
            <w:rStyle w:val="Hypertextovodkaz"/>
            <w:rFonts w:asciiTheme="minorHAnsi" w:hAnsiTheme="minorHAnsi" w:cstheme="minorHAnsi"/>
            <w:color w:val="auto"/>
            <w:sz w:val="22"/>
            <w:szCs w:val="22"/>
          </w:rPr>
          <w:t>zde</w:t>
        </w:r>
      </w:hyperlink>
      <w:r w:rsidRPr="00AF4EC0">
        <w:rPr>
          <w:rFonts w:asciiTheme="minorHAnsi" w:hAnsiTheme="minorHAnsi" w:cstheme="minorHAnsi"/>
          <w:sz w:val="22"/>
          <w:szCs w:val="22"/>
        </w:rPr>
        <w:t>.</w:t>
      </w:r>
    </w:p>
    <w:p w:rsidR="007150E5" w:rsidRDefault="007150E5" w:rsidP="0093701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150E5" w:rsidRDefault="007150E5" w:rsidP="0093701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150E5" w:rsidRDefault="007150E5" w:rsidP="0093701C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6E880B40" wp14:editId="742492DA">
            <wp:extent cx="5756413" cy="3596490"/>
            <wp:effectExtent l="0" t="0" r="0" b="4445"/>
            <wp:docPr id="95" name="Obrázek 95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7505" cy="3609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50E5" w:rsidRDefault="007150E5" w:rsidP="0093701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150E5" w:rsidRDefault="007150E5" w:rsidP="007150E5">
      <w:pPr>
        <w:pStyle w:val="Normlnweb"/>
        <w:shd w:val="clear" w:color="auto" w:fill="FFFFFF"/>
        <w:spacing w:before="0" w:beforeAutospacing="0" w:after="165" w:afterAutospacing="0"/>
        <w:jc w:val="both"/>
        <w:rPr>
          <w:rFonts w:asciiTheme="minorHAnsi" w:hAnsiTheme="minorHAnsi" w:cstheme="minorHAnsi"/>
          <w:color w:val="2E74B5" w:themeColor="accent1" w:themeShade="BF"/>
        </w:rPr>
      </w:pPr>
      <w:r>
        <w:rPr>
          <w:rFonts w:asciiTheme="minorHAnsi" w:hAnsiTheme="minorHAnsi" w:cstheme="minorHAnsi"/>
          <w:color w:val="2E74B5" w:themeColor="accent1" w:themeShade="BF"/>
        </w:rPr>
        <w:t>Evropské srovnání</w:t>
      </w:r>
    </w:p>
    <w:p w:rsidR="007C265E" w:rsidRDefault="007C265E" w:rsidP="007C265E">
      <w:pPr>
        <w:jc w:val="both"/>
        <w:rPr>
          <w:rFonts w:asciiTheme="minorHAnsi" w:hAnsiTheme="minorHAnsi" w:cstheme="minorHAnsi"/>
          <w:sz w:val="22"/>
          <w:szCs w:val="22"/>
        </w:rPr>
      </w:pPr>
      <w:r w:rsidRPr="007C265E">
        <w:rPr>
          <w:rFonts w:asciiTheme="minorHAnsi" w:hAnsiTheme="minorHAnsi" w:cstheme="minorHAnsi"/>
          <w:b/>
          <w:sz w:val="22"/>
          <w:szCs w:val="22"/>
        </w:rPr>
        <w:t>Každ</w:t>
      </w:r>
      <w:r>
        <w:rPr>
          <w:rFonts w:asciiTheme="minorHAnsi" w:hAnsiTheme="minorHAnsi" w:cstheme="minorHAnsi"/>
          <w:b/>
          <w:sz w:val="22"/>
          <w:szCs w:val="22"/>
        </w:rPr>
        <w:t>á</w:t>
      </w:r>
      <w:r w:rsidRPr="007C265E">
        <w:rPr>
          <w:rFonts w:asciiTheme="minorHAnsi" w:hAnsiTheme="minorHAnsi" w:cstheme="minorHAnsi"/>
          <w:b/>
          <w:sz w:val="22"/>
          <w:szCs w:val="22"/>
        </w:rPr>
        <w:t xml:space="preserve"> 5. usmrcená osoba na evropských silnicích byla chodcem!</w:t>
      </w:r>
      <w:r w:rsidRPr="007C265E">
        <w:rPr>
          <w:rFonts w:asciiTheme="minorHAnsi" w:hAnsiTheme="minorHAnsi" w:cstheme="minorHAnsi"/>
          <w:sz w:val="22"/>
          <w:szCs w:val="22"/>
        </w:rPr>
        <w:t xml:space="preserve"> V období 2011-2018 činil podíl usmrcených chodců 19,6 % ze všech usmrcených osob, v České republice činil uvedený podíl 22 % (mírně vyšší podíl).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7C265E">
        <w:rPr>
          <w:rFonts w:asciiTheme="minorHAnsi" w:hAnsiTheme="minorHAnsi" w:cstheme="minorHAnsi"/>
          <w:sz w:val="22"/>
          <w:szCs w:val="22"/>
        </w:rPr>
        <w:t>Nejméně byli chodci na všech usmrcených osobách v důsledku dopravních nehod zastoupeni v Nizozemí (11 %), Finsku (12 %) a Belgii (13 %), naopak nejví</w:t>
      </w:r>
      <w:r>
        <w:rPr>
          <w:rFonts w:asciiTheme="minorHAnsi" w:hAnsiTheme="minorHAnsi" w:cstheme="minorHAnsi"/>
          <w:sz w:val="22"/>
          <w:szCs w:val="22"/>
        </w:rPr>
        <w:t>ce v Litvě (37 %), v Polsku (32 </w:t>
      </w:r>
      <w:r w:rsidRPr="007C265E">
        <w:rPr>
          <w:rFonts w:asciiTheme="minorHAnsi" w:hAnsiTheme="minorHAnsi" w:cstheme="minorHAnsi"/>
          <w:sz w:val="22"/>
          <w:szCs w:val="22"/>
        </w:rPr>
        <w:t>%) a v Maďarsku (25 %).</w:t>
      </w:r>
    </w:p>
    <w:p w:rsidR="007C265E" w:rsidRDefault="007C265E" w:rsidP="007C265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C265E" w:rsidRDefault="007C265E" w:rsidP="007C265E">
      <w:pPr>
        <w:jc w:val="both"/>
        <w:rPr>
          <w:rFonts w:asciiTheme="minorHAnsi" w:hAnsiTheme="minorHAnsi" w:cstheme="minorHAnsi"/>
          <w:sz w:val="22"/>
          <w:szCs w:val="22"/>
        </w:rPr>
      </w:pPr>
      <w:r w:rsidRPr="00692262">
        <w:rPr>
          <w:rFonts w:asciiTheme="minorHAnsi" w:hAnsiTheme="minorHAnsi" w:cstheme="minorHAnsi"/>
          <w:b/>
          <w:sz w:val="22"/>
          <w:szCs w:val="22"/>
        </w:rPr>
        <w:t>V roce 2018 bylo v České republice usmrceno 13 chodců na 1 milion obyvatel.</w:t>
      </w:r>
      <w:r w:rsidRPr="007C265E">
        <w:rPr>
          <w:rFonts w:asciiTheme="minorHAnsi" w:hAnsiTheme="minorHAnsi" w:cstheme="minorHAnsi"/>
          <w:sz w:val="22"/>
          <w:szCs w:val="22"/>
        </w:rPr>
        <w:t xml:space="preserve"> V rámci uvedených evropských zemí bylo v roce 2018 usmrceno 9 chodců na 1 milion obyvatel, tzn., že </w:t>
      </w:r>
      <w:r w:rsidRPr="00692262">
        <w:rPr>
          <w:rFonts w:asciiTheme="minorHAnsi" w:hAnsiTheme="minorHAnsi" w:cstheme="minorHAnsi"/>
          <w:b/>
          <w:sz w:val="22"/>
          <w:szCs w:val="22"/>
        </w:rPr>
        <w:t>situace v rámci České republiky byla ve srovnání s evropským průměrem významně negativnější</w:t>
      </w:r>
      <w:r w:rsidRPr="007C265E">
        <w:rPr>
          <w:rFonts w:asciiTheme="minorHAnsi" w:hAnsiTheme="minorHAnsi" w:cstheme="minorHAnsi"/>
          <w:sz w:val="22"/>
          <w:szCs w:val="22"/>
        </w:rPr>
        <w:t xml:space="preserve"> (o 44 % více usmrcených chodců na 1 milion obyvatel).</w:t>
      </w:r>
    </w:p>
    <w:p w:rsidR="007150E5" w:rsidRDefault="007150E5" w:rsidP="007150E5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92262" w:rsidRDefault="00692262" w:rsidP="00692262">
      <w:pPr>
        <w:jc w:val="both"/>
        <w:rPr>
          <w:rFonts w:asciiTheme="minorHAnsi" w:hAnsiTheme="minorHAnsi" w:cstheme="minorHAnsi"/>
          <w:sz w:val="22"/>
          <w:szCs w:val="22"/>
        </w:rPr>
      </w:pPr>
      <w:r w:rsidRPr="00692262">
        <w:rPr>
          <w:rFonts w:asciiTheme="minorHAnsi" w:hAnsiTheme="minorHAnsi" w:cstheme="minorHAnsi"/>
          <w:sz w:val="22"/>
          <w:szCs w:val="22"/>
        </w:rPr>
        <w:t xml:space="preserve">Evropská unie si v rámci dekády 2011-2020 stanovila hlavní cíl snížit v roce 2020 fatální následky nehod na polovinu roku 2010. </w:t>
      </w:r>
      <w:r w:rsidRPr="00692262">
        <w:rPr>
          <w:rFonts w:asciiTheme="minorHAnsi" w:hAnsiTheme="minorHAnsi" w:cstheme="minorHAnsi"/>
          <w:b/>
          <w:sz w:val="22"/>
          <w:szCs w:val="22"/>
        </w:rPr>
        <w:t>V období let 2011-2018 bylo v České republice usmrceno 1 182 chodců</w:t>
      </w:r>
      <w:r w:rsidRPr="00692262">
        <w:rPr>
          <w:rFonts w:asciiTheme="minorHAnsi" w:hAnsiTheme="minorHAnsi" w:cstheme="minorHAnsi"/>
          <w:sz w:val="22"/>
          <w:szCs w:val="22"/>
        </w:rPr>
        <w:t xml:space="preserve"> (pozn. data do 30 dní po nehodě), </w:t>
      </w:r>
      <w:r w:rsidRPr="00692262">
        <w:rPr>
          <w:rFonts w:asciiTheme="minorHAnsi" w:hAnsiTheme="minorHAnsi" w:cstheme="minorHAnsi"/>
          <w:b/>
          <w:sz w:val="22"/>
          <w:szCs w:val="22"/>
        </w:rPr>
        <w:t>tj. oproti stanoveným předpokladům o 18,6 % více. V rámci sledovaných evropských zemí byl v souhrnu předpoklad překročen o 22,3 %.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692262">
        <w:rPr>
          <w:rFonts w:asciiTheme="minorHAnsi" w:hAnsiTheme="minorHAnsi" w:cstheme="minorHAnsi"/>
          <w:sz w:val="22"/>
          <w:szCs w:val="22"/>
        </w:rPr>
        <w:t>Česká republika (přestože stanovené předpoklady nesplnila) patřila v oblasti usmrcených chodců k lepšímu průměru. Pod stanovené předpoklady v oblasti usmrcených chodců se dostaly jen 2 země: Slovi</w:t>
      </w:r>
      <w:r>
        <w:rPr>
          <w:rFonts w:asciiTheme="minorHAnsi" w:hAnsiTheme="minorHAnsi" w:cstheme="minorHAnsi"/>
          <w:sz w:val="22"/>
          <w:szCs w:val="22"/>
        </w:rPr>
        <w:t>nsko (- 12,0 %) a Dánsko (-11,9 </w:t>
      </w:r>
      <w:r w:rsidRPr="00692262">
        <w:rPr>
          <w:rFonts w:asciiTheme="minorHAnsi" w:hAnsiTheme="minorHAnsi" w:cstheme="minorHAnsi"/>
          <w:sz w:val="22"/>
          <w:szCs w:val="22"/>
        </w:rPr>
        <w:t>%).</w:t>
      </w:r>
    </w:p>
    <w:p w:rsidR="006F3C2A" w:rsidRDefault="006F3C2A" w:rsidP="0069226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F3C2A" w:rsidRDefault="006F3C2A" w:rsidP="00287BC9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„</w:t>
      </w:r>
      <w:r w:rsidRPr="006F3C2A">
        <w:rPr>
          <w:rFonts w:asciiTheme="minorHAnsi" w:hAnsiTheme="minorHAnsi" w:cstheme="minorHAnsi"/>
          <w:i/>
          <w:sz w:val="22"/>
          <w:szCs w:val="22"/>
        </w:rPr>
        <w:t xml:space="preserve">Jakkoli situace z pohledu počtu usmrcených chodců nevyznívá pro Českou republiku ve srovnání s ostatními zeměmi příliš pozitivně, </w:t>
      </w:r>
      <w:r w:rsidRPr="006F3C2A">
        <w:rPr>
          <w:rFonts w:asciiTheme="minorHAnsi" w:hAnsiTheme="minorHAnsi" w:cstheme="minorHAnsi"/>
          <w:b/>
          <w:i/>
          <w:sz w:val="22"/>
          <w:szCs w:val="22"/>
        </w:rPr>
        <w:t>je nutné řešit primárně příčiny a viníky nehod, které mají pro chodce fatální následky</w:t>
      </w:r>
      <w:r>
        <w:rPr>
          <w:rFonts w:asciiTheme="minorHAnsi" w:hAnsiTheme="minorHAnsi" w:cstheme="minorHAnsi"/>
          <w:i/>
          <w:sz w:val="22"/>
          <w:szCs w:val="22"/>
        </w:rPr>
        <w:t>; jen v loňském roce bylo vinou řidičů motorových vozidel usmrceno 78 % všech chodců,</w:t>
      </w:r>
      <w:r>
        <w:rPr>
          <w:rFonts w:asciiTheme="minorHAnsi" w:hAnsiTheme="minorHAnsi" w:cstheme="minorHAnsi"/>
          <w:sz w:val="22"/>
          <w:szCs w:val="22"/>
        </w:rPr>
        <w:t xml:space="preserve">“ říká Ing. Veronika Valentová, Ph.D., ředitelka </w:t>
      </w:r>
      <w:r w:rsidRPr="006F3C2A">
        <w:rPr>
          <w:rFonts w:asciiTheme="minorHAnsi" w:hAnsiTheme="minorHAnsi" w:cstheme="minorHAnsi"/>
          <w:sz w:val="22"/>
          <w:szCs w:val="22"/>
        </w:rPr>
        <w:t>Divize doprav</w:t>
      </w:r>
      <w:r>
        <w:rPr>
          <w:rFonts w:asciiTheme="minorHAnsi" w:hAnsiTheme="minorHAnsi" w:cstheme="minorHAnsi"/>
          <w:sz w:val="22"/>
          <w:szCs w:val="22"/>
        </w:rPr>
        <w:t>ního inženýrství, bezpečnosti a </w:t>
      </w:r>
      <w:r w:rsidRPr="006F3C2A">
        <w:rPr>
          <w:rFonts w:asciiTheme="minorHAnsi" w:hAnsiTheme="minorHAnsi" w:cstheme="minorHAnsi"/>
          <w:sz w:val="22"/>
          <w:szCs w:val="22"/>
        </w:rPr>
        <w:t>strategií</w:t>
      </w:r>
      <w:r>
        <w:rPr>
          <w:rFonts w:asciiTheme="minorHAnsi" w:hAnsiTheme="minorHAnsi" w:cstheme="minorHAnsi"/>
          <w:sz w:val="22"/>
          <w:szCs w:val="22"/>
        </w:rPr>
        <w:t xml:space="preserve"> CDV a dodává: „</w:t>
      </w:r>
      <w:r w:rsidR="00885510" w:rsidRPr="00287BC9">
        <w:rPr>
          <w:rFonts w:asciiTheme="minorHAnsi" w:hAnsiTheme="minorHAnsi" w:cstheme="minorHAnsi"/>
          <w:i/>
          <w:sz w:val="22"/>
          <w:szCs w:val="22"/>
        </w:rPr>
        <w:t>Všechn</w:t>
      </w:r>
      <w:r w:rsidR="00540605">
        <w:rPr>
          <w:rFonts w:asciiTheme="minorHAnsi" w:hAnsiTheme="minorHAnsi" w:cstheme="minorHAnsi"/>
          <w:i/>
          <w:sz w:val="22"/>
          <w:szCs w:val="22"/>
        </w:rPr>
        <w:t>y</w:t>
      </w:r>
      <w:r w:rsidR="00885510" w:rsidRPr="00287BC9">
        <w:rPr>
          <w:rFonts w:asciiTheme="minorHAnsi" w:hAnsiTheme="minorHAnsi" w:cstheme="minorHAnsi"/>
          <w:i/>
          <w:sz w:val="22"/>
          <w:szCs w:val="22"/>
        </w:rPr>
        <w:t xml:space="preserve"> nově vyráběné modely osobních vozidel </w:t>
      </w:r>
      <w:r w:rsidR="00287BC9" w:rsidRPr="00287BC9">
        <w:rPr>
          <w:rFonts w:asciiTheme="minorHAnsi" w:hAnsiTheme="minorHAnsi" w:cstheme="minorHAnsi"/>
          <w:i/>
          <w:sz w:val="22"/>
          <w:szCs w:val="22"/>
        </w:rPr>
        <w:t xml:space="preserve">budou </w:t>
      </w:r>
      <w:r w:rsidR="00885510" w:rsidRPr="00287BC9">
        <w:rPr>
          <w:rFonts w:asciiTheme="minorHAnsi" w:hAnsiTheme="minorHAnsi" w:cstheme="minorHAnsi"/>
          <w:i/>
          <w:sz w:val="22"/>
          <w:szCs w:val="22"/>
        </w:rPr>
        <w:t xml:space="preserve">od roku 2022 povinně vybaveny mj. </w:t>
      </w:r>
      <w:r w:rsidR="00885510" w:rsidRPr="00287BC9">
        <w:rPr>
          <w:rFonts w:asciiTheme="minorHAnsi" w:hAnsiTheme="minorHAnsi" w:cstheme="minorHAnsi"/>
          <w:b/>
          <w:i/>
          <w:sz w:val="22"/>
          <w:szCs w:val="22"/>
        </w:rPr>
        <w:t>pokročilým nouzovým brzděním</w:t>
      </w:r>
      <w:r w:rsidR="00287BC9" w:rsidRPr="00287BC9">
        <w:rPr>
          <w:rFonts w:asciiTheme="minorHAnsi" w:hAnsiTheme="minorHAnsi" w:cstheme="minorHAnsi"/>
          <w:b/>
          <w:i/>
          <w:sz w:val="22"/>
          <w:szCs w:val="22"/>
        </w:rPr>
        <w:t xml:space="preserve"> s detekcí chodců</w:t>
      </w:r>
      <w:r w:rsidR="00287BC9" w:rsidRPr="00287BC9">
        <w:rPr>
          <w:rFonts w:asciiTheme="minorHAnsi" w:hAnsiTheme="minorHAnsi" w:cstheme="minorHAnsi"/>
          <w:i/>
          <w:sz w:val="22"/>
          <w:szCs w:val="22"/>
        </w:rPr>
        <w:t xml:space="preserve">. Uvedené opatření je jedním z mnoha prvků, které budou </w:t>
      </w:r>
      <w:r w:rsidR="00540605">
        <w:rPr>
          <w:rFonts w:asciiTheme="minorHAnsi" w:hAnsiTheme="minorHAnsi" w:cstheme="minorHAnsi"/>
          <w:i/>
          <w:sz w:val="22"/>
          <w:szCs w:val="22"/>
        </w:rPr>
        <w:t xml:space="preserve">od uvedeného roku </w:t>
      </w:r>
      <w:r w:rsidR="00287BC9" w:rsidRPr="00287BC9">
        <w:rPr>
          <w:rFonts w:asciiTheme="minorHAnsi" w:hAnsiTheme="minorHAnsi" w:cstheme="minorHAnsi"/>
          <w:i/>
          <w:sz w:val="22"/>
          <w:szCs w:val="22"/>
        </w:rPr>
        <w:t xml:space="preserve">do vozidel povinně implementovány. Souhrnně </w:t>
      </w:r>
      <w:r w:rsidR="00540605">
        <w:rPr>
          <w:rFonts w:asciiTheme="minorHAnsi" w:hAnsiTheme="minorHAnsi" w:cstheme="minorHAnsi"/>
          <w:noProof/>
          <w:sz w:val="22"/>
          <w:szCs w:val="22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3602508</wp:posOffset>
            </wp:positionH>
            <wp:positionV relativeFrom="paragraph">
              <wp:posOffset>43815</wp:posOffset>
            </wp:positionV>
            <wp:extent cx="2150110" cy="1612265"/>
            <wp:effectExtent l="0" t="0" r="2540" b="6985"/>
            <wp:wrapTight wrapText="bothSides">
              <wp:wrapPolygon edited="0">
                <wp:start x="0" y="0"/>
                <wp:lineTo x="0" y="21438"/>
                <wp:lineTo x="21434" y="21438"/>
                <wp:lineTo x="21434" y="0"/>
                <wp:lineTo x="0" y="0"/>
              </wp:wrapPolygon>
            </wp:wrapTight>
            <wp:docPr id="2" name="Video 2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id=&quot;ytplayer&quot; src=&quot;https://www.youtube.com/embed/CVeSCjgACiA&quot; frameborder=&quot;0&quot; type=&quot;text/html&quot; width=&quot;816&quot; height=&quot;480&quot; /&gt;" h="480" w="8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0110" cy="1612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7BC9" w:rsidRPr="00287BC9">
        <w:rPr>
          <w:rFonts w:asciiTheme="minorHAnsi" w:hAnsiTheme="minorHAnsi" w:cstheme="minorHAnsi"/>
          <w:i/>
          <w:sz w:val="22"/>
          <w:szCs w:val="22"/>
        </w:rPr>
        <w:t xml:space="preserve">představují nové bezpečnostní standardy vozidel největší pokrok v oblasti bezpečnosti silničního provozu v Evropě od zavedení bezpečnostního pásu. </w:t>
      </w:r>
      <w:r w:rsidR="00540605" w:rsidRPr="00540605">
        <w:rPr>
          <w:rFonts w:asciiTheme="minorHAnsi" w:hAnsiTheme="minorHAnsi" w:cstheme="minorHAnsi"/>
          <w:i/>
          <w:sz w:val="22"/>
          <w:szCs w:val="22"/>
        </w:rPr>
        <w:t xml:space="preserve">Euro NCAP </w:t>
      </w:r>
      <w:r w:rsidR="00540605">
        <w:rPr>
          <w:rFonts w:asciiTheme="minorHAnsi" w:hAnsiTheme="minorHAnsi" w:cstheme="minorHAnsi"/>
          <w:i/>
          <w:sz w:val="22"/>
          <w:szCs w:val="22"/>
        </w:rPr>
        <w:t>v loňském roce zavedla</w:t>
      </w:r>
      <w:r w:rsidR="00540605" w:rsidRPr="00540605">
        <w:rPr>
          <w:rFonts w:asciiTheme="minorHAnsi" w:hAnsiTheme="minorHAnsi" w:cstheme="minorHAnsi"/>
          <w:i/>
          <w:sz w:val="22"/>
          <w:szCs w:val="22"/>
        </w:rPr>
        <w:t xml:space="preserve"> nové a přísnější standardy v oblasti bezpečnostních technologií</w:t>
      </w:r>
      <w:r w:rsidR="00540605">
        <w:rPr>
          <w:rFonts w:asciiTheme="minorHAnsi" w:hAnsiTheme="minorHAnsi" w:cstheme="minorHAnsi"/>
          <w:i/>
          <w:sz w:val="22"/>
          <w:szCs w:val="22"/>
        </w:rPr>
        <w:t>,</w:t>
      </w:r>
      <w:r w:rsidR="00540605" w:rsidRPr="00540605">
        <w:t xml:space="preserve"> </w:t>
      </w:r>
      <w:r w:rsidR="00540605" w:rsidRPr="00540605">
        <w:rPr>
          <w:rFonts w:asciiTheme="minorHAnsi" w:hAnsiTheme="minorHAnsi" w:cstheme="minorHAnsi"/>
          <w:i/>
          <w:sz w:val="22"/>
          <w:szCs w:val="22"/>
        </w:rPr>
        <w:t>které pomáhají chránit zranitelné účastníky silničního provozu, včetně zavedení prvního testu detekce pro AEB</w:t>
      </w:r>
      <w:r w:rsidR="00540605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="00540605">
        <w:rPr>
          <w:rFonts w:asciiTheme="minorHAnsi" w:hAnsiTheme="minorHAnsi" w:cstheme="minorHAnsi"/>
          <w:i/>
          <w:sz w:val="22"/>
          <w:szCs w:val="22"/>
        </w:rPr>
        <w:t>Pede</w:t>
      </w:r>
      <w:r w:rsidR="000520F0">
        <w:rPr>
          <w:rFonts w:asciiTheme="minorHAnsi" w:hAnsiTheme="minorHAnsi" w:cstheme="minorHAnsi"/>
          <w:i/>
          <w:sz w:val="22"/>
          <w:szCs w:val="22"/>
        </w:rPr>
        <w:t>s</w:t>
      </w:r>
      <w:r w:rsidR="00540605">
        <w:rPr>
          <w:rFonts w:asciiTheme="minorHAnsi" w:hAnsiTheme="minorHAnsi" w:cstheme="minorHAnsi"/>
          <w:i/>
          <w:sz w:val="22"/>
          <w:szCs w:val="22"/>
        </w:rPr>
        <w:t>trian</w:t>
      </w:r>
      <w:proofErr w:type="spellEnd"/>
      <w:r w:rsidR="00540605">
        <w:rPr>
          <w:rFonts w:asciiTheme="minorHAnsi" w:hAnsiTheme="minorHAnsi" w:cstheme="minorHAnsi"/>
          <w:i/>
          <w:sz w:val="22"/>
          <w:szCs w:val="22"/>
        </w:rPr>
        <w:t xml:space="preserve">. </w:t>
      </w:r>
      <w:r w:rsidR="00287BC9" w:rsidRPr="00287BC9">
        <w:rPr>
          <w:rFonts w:asciiTheme="minorHAnsi" w:hAnsiTheme="minorHAnsi" w:cstheme="minorHAnsi"/>
          <w:i/>
          <w:sz w:val="22"/>
          <w:szCs w:val="22"/>
        </w:rPr>
        <w:t>Systém pokročilého nouzového brzdění s detekcí chodců je u nových vozidel čím dál rozšířenější, některé automobilky jej imple</w:t>
      </w:r>
      <w:r w:rsidR="00540605">
        <w:rPr>
          <w:rFonts w:asciiTheme="minorHAnsi" w:hAnsiTheme="minorHAnsi" w:cstheme="minorHAnsi"/>
          <w:i/>
          <w:sz w:val="22"/>
          <w:szCs w:val="22"/>
        </w:rPr>
        <w:t xml:space="preserve">mentují již do základních výbav. </w:t>
      </w:r>
      <w:r w:rsidR="00287BC9" w:rsidRPr="00287BC9">
        <w:rPr>
          <w:rFonts w:asciiTheme="minorHAnsi" w:hAnsiTheme="minorHAnsi" w:cstheme="minorHAnsi"/>
          <w:b/>
          <w:i/>
          <w:sz w:val="22"/>
          <w:szCs w:val="22"/>
        </w:rPr>
        <w:t xml:space="preserve">V případě pořízení vozidla je vhodné věnovat pozornost asistenčním systémům, které mohou eliminovat možné chyby řidiče a předejít nehodě, resp. </w:t>
      </w:r>
      <w:r w:rsidR="000520F0">
        <w:rPr>
          <w:rFonts w:asciiTheme="minorHAnsi" w:hAnsiTheme="minorHAnsi" w:cstheme="minorHAnsi"/>
          <w:b/>
          <w:i/>
          <w:sz w:val="22"/>
          <w:szCs w:val="22"/>
        </w:rPr>
        <w:t xml:space="preserve">významně </w:t>
      </w:r>
      <w:r w:rsidR="00287BC9" w:rsidRPr="00287BC9">
        <w:rPr>
          <w:rFonts w:asciiTheme="minorHAnsi" w:hAnsiTheme="minorHAnsi" w:cstheme="minorHAnsi"/>
          <w:b/>
          <w:i/>
          <w:sz w:val="22"/>
          <w:szCs w:val="22"/>
        </w:rPr>
        <w:t>snížit její následky.</w:t>
      </w:r>
      <w:r w:rsidR="00287BC9">
        <w:rPr>
          <w:rFonts w:asciiTheme="minorHAnsi" w:hAnsiTheme="minorHAnsi" w:cstheme="minorHAnsi"/>
          <w:sz w:val="22"/>
          <w:szCs w:val="22"/>
        </w:rPr>
        <w:t>“</w:t>
      </w:r>
    </w:p>
    <w:p w:rsidR="00287BC9" w:rsidRDefault="00287BC9" w:rsidP="00287BC9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92262" w:rsidRDefault="00692262" w:rsidP="007150E5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Style w:val="TextbublinyChar"/>
          <w:rFonts w:cs="Arial"/>
          <w:bCs/>
          <w:noProof/>
        </w:rPr>
        <w:drawing>
          <wp:inline distT="0" distB="0" distL="0" distR="0" wp14:anchorId="1380A800" wp14:editId="49B9B82E">
            <wp:extent cx="5753100" cy="3724275"/>
            <wp:effectExtent l="0" t="0" r="0" b="9525"/>
            <wp:docPr id="7198" name="Obrázek 7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65E" w:rsidRDefault="007C265E" w:rsidP="007150E5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C265E" w:rsidRPr="007150E5" w:rsidRDefault="00120840" w:rsidP="007150E5">
      <w:pPr>
        <w:jc w:val="both"/>
        <w:rPr>
          <w:rFonts w:asciiTheme="minorHAnsi" w:hAnsiTheme="minorHAnsi" w:cstheme="minorHAnsi"/>
          <w:sz w:val="22"/>
          <w:szCs w:val="22"/>
        </w:rPr>
      </w:pPr>
      <w:r w:rsidRPr="00120840">
        <w:rPr>
          <w:rFonts w:asciiTheme="minorHAnsi" w:hAnsiTheme="minorHAnsi" w:cstheme="minorHAnsi"/>
          <w:b/>
          <w:sz w:val="22"/>
          <w:szCs w:val="22"/>
        </w:rPr>
        <w:t xml:space="preserve">V období ledna-června 2019 bylo usmrceno </w:t>
      </w:r>
      <w:r w:rsidR="00B93E47">
        <w:rPr>
          <w:rFonts w:asciiTheme="minorHAnsi" w:hAnsiTheme="minorHAnsi" w:cstheme="minorHAnsi"/>
          <w:b/>
          <w:sz w:val="22"/>
          <w:szCs w:val="22"/>
        </w:rPr>
        <w:t>31 a těžce zraněno 202 chodců, v</w:t>
      </w:r>
      <w:r w:rsidRPr="00120840">
        <w:rPr>
          <w:rFonts w:asciiTheme="minorHAnsi" w:hAnsiTheme="minorHAnsi" w:cstheme="minorHAnsi"/>
          <w:b/>
          <w:sz w:val="22"/>
          <w:szCs w:val="22"/>
        </w:rPr>
        <w:t xml:space="preserve"> obou sledovaných </w:t>
      </w:r>
      <w:r w:rsidR="00B93E47">
        <w:rPr>
          <w:rFonts w:asciiTheme="minorHAnsi" w:hAnsiTheme="minorHAnsi" w:cstheme="minorHAnsi"/>
          <w:b/>
          <w:sz w:val="22"/>
          <w:szCs w:val="22"/>
        </w:rPr>
        <w:t>oblastech</w:t>
      </w:r>
      <w:r w:rsidRPr="00120840">
        <w:rPr>
          <w:rFonts w:asciiTheme="minorHAnsi" w:hAnsiTheme="minorHAnsi" w:cstheme="minorHAnsi"/>
          <w:b/>
          <w:sz w:val="22"/>
          <w:szCs w:val="22"/>
        </w:rPr>
        <w:t xml:space="preserve"> se jedná o historická minima.</w:t>
      </w:r>
      <w:r>
        <w:rPr>
          <w:rFonts w:asciiTheme="minorHAnsi" w:hAnsiTheme="minorHAnsi" w:cstheme="minorHAnsi"/>
          <w:sz w:val="22"/>
          <w:szCs w:val="22"/>
        </w:rPr>
        <w:t xml:space="preserve"> Pro chodce „typické“ kritické období nás však teprve čeká – dlouhodobě nejtragičtější následky přicházejí v posledním kvartále roku</w:t>
      </w:r>
      <w:r w:rsidR="00B93E47">
        <w:rPr>
          <w:rFonts w:asciiTheme="minorHAnsi" w:hAnsiTheme="minorHAnsi" w:cstheme="minorHAnsi"/>
          <w:sz w:val="22"/>
          <w:szCs w:val="22"/>
        </w:rPr>
        <w:t>.</w:t>
      </w:r>
      <w:bookmarkStart w:id="0" w:name="_GoBack"/>
      <w:bookmarkEnd w:id="0"/>
    </w:p>
    <w:p w:rsidR="00104111" w:rsidRPr="0073672D" w:rsidRDefault="00104111" w:rsidP="0093701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3701C" w:rsidRPr="0073672D" w:rsidRDefault="0093701C" w:rsidP="0093701C">
      <w:pPr>
        <w:rPr>
          <w:rFonts w:asciiTheme="minorHAnsi" w:hAnsiTheme="minorHAnsi" w:cstheme="minorHAnsi"/>
          <w:b/>
          <w:sz w:val="22"/>
          <w:szCs w:val="22"/>
        </w:rPr>
      </w:pPr>
      <w:r w:rsidRPr="0073672D">
        <w:rPr>
          <w:rFonts w:asciiTheme="minorHAnsi" w:hAnsiTheme="minorHAnsi" w:cstheme="minorHAnsi"/>
          <w:b/>
          <w:sz w:val="22"/>
          <w:szCs w:val="22"/>
        </w:rPr>
        <w:t xml:space="preserve">Mgr. Tomáš </w:t>
      </w:r>
      <w:proofErr w:type="spellStart"/>
      <w:r w:rsidRPr="0073672D">
        <w:rPr>
          <w:rFonts w:asciiTheme="minorHAnsi" w:hAnsiTheme="minorHAnsi" w:cstheme="minorHAnsi"/>
          <w:b/>
          <w:sz w:val="22"/>
          <w:szCs w:val="22"/>
        </w:rPr>
        <w:t>Neřold</w:t>
      </w:r>
      <w:proofErr w:type="spellEnd"/>
      <w:r w:rsidRPr="0073672D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gramStart"/>
      <w:r w:rsidRPr="0073672D">
        <w:rPr>
          <w:rFonts w:asciiTheme="minorHAnsi" w:hAnsiTheme="minorHAnsi" w:cstheme="minorHAnsi"/>
          <w:b/>
          <w:sz w:val="22"/>
          <w:szCs w:val="22"/>
        </w:rPr>
        <w:t>M.A.</w:t>
      </w:r>
      <w:proofErr w:type="gramEnd"/>
    </w:p>
    <w:p w:rsidR="0093701C" w:rsidRPr="0073672D" w:rsidRDefault="0093701C" w:rsidP="0093701C">
      <w:pPr>
        <w:rPr>
          <w:rFonts w:asciiTheme="minorHAnsi" w:hAnsiTheme="minorHAnsi" w:cstheme="minorHAnsi"/>
          <w:sz w:val="22"/>
          <w:szCs w:val="22"/>
        </w:rPr>
      </w:pPr>
      <w:r w:rsidRPr="0073672D">
        <w:rPr>
          <w:rFonts w:asciiTheme="minorHAnsi" w:hAnsiTheme="minorHAnsi" w:cstheme="minorHAnsi"/>
          <w:sz w:val="22"/>
          <w:szCs w:val="22"/>
        </w:rPr>
        <w:t>Vedoucí Samostatného oddělení BESIP Ministerstva dopravy</w:t>
      </w:r>
    </w:p>
    <w:p w:rsidR="0093701C" w:rsidRPr="0073672D" w:rsidRDefault="0093701C" w:rsidP="0093701C">
      <w:pPr>
        <w:rPr>
          <w:rFonts w:asciiTheme="minorHAnsi" w:hAnsiTheme="minorHAnsi" w:cstheme="minorHAnsi"/>
          <w:sz w:val="22"/>
          <w:szCs w:val="22"/>
        </w:rPr>
      </w:pPr>
      <w:r w:rsidRPr="0073672D">
        <w:rPr>
          <w:rFonts w:asciiTheme="minorHAnsi" w:hAnsiTheme="minorHAnsi" w:cstheme="minorHAnsi"/>
          <w:sz w:val="22"/>
          <w:szCs w:val="22"/>
        </w:rPr>
        <w:t>+420 602 632 176</w:t>
      </w:r>
    </w:p>
    <w:p w:rsidR="0093701C" w:rsidRPr="0073672D" w:rsidRDefault="00DC1505" w:rsidP="0093701C">
      <w:pPr>
        <w:rPr>
          <w:rFonts w:asciiTheme="minorHAnsi" w:hAnsiTheme="minorHAnsi" w:cstheme="minorHAnsi"/>
          <w:sz w:val="22"/>
          <w:szCs w:val="22"/>
        </w:rPr>
      </w:pPr>
      <w:hyperlink r:id="rId17" w:history="1">
        <w:r w:rsidR="0093701C" w:rsidRPr="0073672D">
          <w:rPr>
            <w:rStyle w:val="Hypertextovodkaz"/>
            <w:rFonts w:asciiTheme="minorHAnsi" w:hAnsiTheme="minorHAnsi" w:cstheme="minorHAnsi"/>
            <w:color w:val="auto"/>
            <w:sz w:val="22"/>
            <w:szCs w:val="22"/>
          </w:rPr>
          <w:t>tomas.nerold@mdcr.cz</w:t>
        </w:r>
      </w:hyperlink>
    </w:p>
    <w:p w:rsidR="00707882" w:rsidRDefault="00707882">
      <w:pPr>
        <w:rPr>
          <w:rFonts w:asciiTheme="minorHAnsi" w:hAnsiTheme="minorHAnsi" w:cstheme="minorHAnsi"/>
          <w:sz w:val="22"/>
          <w:szCs w:val="22"/>
        </w:rPr>
      </w:pPr>
    </w:p>
    <w:p w:rsidR="00104111" w:rsidRDefault="00104111">
      <w:pPr>
        <w:rPr>
          <w:rFonts w:asciiTheme="minorHAnsi" w:hAnsiTheme="minorHAnsi" w:cstheme="minorHAnsi"/>
          <w:sz w:val="22"/>
          <w:szCs w:val="22"/>
        </w:rPr>
      </w:pPr>
    </w:p>
    <w:p w:rsidR="00212D83" w:rsidRPr="006F3C2A" w:rsidRDefault="00212D83" w:rsidP="00212D83">
      <w:pPr>
        <w:jc w:val="both"/>
        <w:rPr>
          <w:rFonts w:ascii="Calibri" w:hAnsi="Calibri" w:cs="Calibri"/>
          <w:sz w:val="16"/>
          <w:szCs w:val="16"/>
        </w:rPr>
      </w:pPr>
      <w:r w:rsidRPr="006F3C2A">
        <w:rPr>
          <w:rFonts w:ascii="Calibri" w:hAnsi="Calibri" w:cs="Calibri"/>
          <w:sz w:val="16"/>
          <w:szCs w:val="16"/>
        </w:rPr>
        <w:t xml:space="preserve">[1] </w:t>
      </w:r>
      <w:hyperlink r:id="rId18" w:history="1">
        <w:r w:rsidRPr="006F3C2A">
          <w:rPr>
            <w:rStyle w:val="Hypertextovodkaz"/>
            <w:rFonts w:ascii="Calibri" w:hAnsi="Calibri" w:cs="Calibri"/>
            <w:color w:val="auto"/>
            <w:sz w:val="16"/>
            <w:szCs w:val="16"/>
          </w:rPr>
          <w:t xml:space="preserve">CDV: </w:t>
        </w:r>
        <w:r w:rsidR="0086419B" w:rsidRPr="006F3C2A">
          <w:rPr>
            <w:rStyle w:val="Hypertextovodkaz"/>
            <w:rFonts w:ascii="Calibri" w:hAnsi="Calibri" w:cs="Calibri"/>
            <w:color w:val="auto"/>
            <w:sz w:val="16"/>
            <w:szCs w:val="16"/>
          </w:rPr>
          <w:t>Analýza Chodci – Dílčí cíl Národní strategie bezpečnosti silničního provozu 2011-2020</w:t>
        </w:r>
        <w:r w:rsidRPr="006F3C2A">
          <w:rPr>
            <w:rStyle w:val="Hypertextovodkaz"/>
            <w:rFonts w:ascii="Calibri" w:hAnsi="Calibri" w:cs="Calibri"/>
            <w:color w:val="auto"/>
            <w:sz w:val="16"/>
            <w:szCs w:val="16"/>
          </w:rPr>
          <w:t xml:space="preserve"> (2019)</w:t>
        </w:r>
      </w:hyperlink>
    </w:p>
    <w:p w:rsidR="00707882" w:rsidRDefault="00885510" w:rsidP="00212D83">
      <w:pPr>
        <w:jc w:val="both"/>
        <w:rPr>
          <w:rStyle w:val="Hypertextovodkaz"/>
          <w:rFonts w:ascii="Calibri" w:hAnsi="Calibri" w:cs="Calibri"/>
          <w:color w:val="auto"/>
          <w:sz w:val="16"/>
          <w:szCs w:val="16"/>
          <w:u w:val="none"/>
        </w:rPr>
      </w:pPr>
      <w:r w:rsidRPr="00885510">
        <w:rPr>
          <w:rFonts w:ascii="Calibri" w:hAnsi="Calibri" w:cs="Calibri"/>
          <w:sz w:val="16"/>
          <w:szCs w:val="16"/>
        </w:rPr>
        <w:t>[</w:t>
      </w:r>
      <w:r w:rsidRPr="00885510">
        <w:rPr>
          <w:rFonts w:ascii="Calibri" w:hAnsi="Calibri" w:cs="Calibri"/>
          <w:sz w:val="16"/>
          <w:szCs w:val="16"/>
        </w:rPr>
        <w:t>2</w:t>
      </w:r>
      <w:r w:rsidRPr="00885510">
        <w:rPr>
          <w:rFonts w:ascii="Calibri" w:hAnsi="Calibri" w:cs="Calibri"/>
          <w:sz w:val="16"/>
          <w:szCs w:val="16"/>
        </w:rPr>
        <w:t xml:space="preserve">] </w:t>
      </w:r>
      <w:r w:rsidR="006F3C2A" w:rsidRPr="00885510">
        <w:rPr>
          <w:rStyle w:val="Hypertextovodkaz"/>
          <w:rFonts w:ascii="Calibri" w:hAnsi="Calibri" w:cs="Calibri"/>
          <w:color w:val="auto"/>
          <w:sz w:val="16"/>
          <w:szCs w:val="16"/>
          <w:u w:val="none"/>
        </w:rPr>
        <w:t xml:space="preserve">Hloubková analýza dopravních nehod; </w:t>
      </w:r>
      <w:hyperlink r:id="rId19" w:history="1">
        <w:r w:rsidRPr="00885510">
          <w:rPr>
            <w:rStyle w:val="Hypertextovodkaz"/>
            <w:rFonts w:ascii="Calibri" w:hAnsi="Calibri" w:cs="Calibri"/>
            <w:color w:val="auto"/>
            <w:sz w:val="16"/>
            <w:szCs w:val="16"/>
          </w:rPr>
          <w:t>www.vyzkumnehod.cz</w:t>
        </w:r>
      </w:hyperlink>
    </w:p>
    <w:p w:rsidR="00287BC9" w:rsidRDefault="00287BC9" w:rsidP="00212D83">
      <w:pPr>
        <w:jc w:val="both"/>
        <w:rPr>
          <w:rStyle w:val="Hypertextovodkaz"/>
          <w:rFonts w:ascii="Calibri" w:hAnsi="Calibri" w:cs="Calibri"/>
          <w:color w:val="auto"/>
          <w:sz w:val="16"/>
          <w:szCs w:val="16"/>
          <w:u w:val="none"/>
        </w:rPr>
      </w:pPr>
      <w:r w:rsidRPr="00287BC9">
        <w:rPr>
          <w:rFonts w:ascii="Calibri" w:hAnsi="Calibri" w:cs="Calibri"/>
          <w:sz w:val="16"/>
          <w:szCs w:val="16"/>
        </w:rPr>
        <w:t>[</w:t>
      </w:r>
      <w:r w:rsidRPr="00287BC9">
        <w:rPr>
          <w:rFonts w:ascii="Calibri" w:hAnsi="Calibri" w:cs="Calibri"/>
          <w:sz w:val="16"/>
          <w:szCs w:val="16"/>
        </w:rPr>
        <w:t>3</w:t>
      </w:r>
      <w:r w:rsidRPr="00287BC9">
        <w:rPr>
          <w:rFonts w:ascii="Calibri" w:hAnsi="Calibri" w:cs="Calibri"/>
          <w:sz w:val="16"/>
          <w:szCs w:val="16"/>
        </w:rPr>
        <w:t xml:space="preserve">] </w:t>
      </w:r>
      <w:hyperlink r:id="rId20" w:history="1">
        <w:r w:rsidRPr="00287BC9">
          <w:rPr>
            <w:rStyle w:val="Hypertextovodkaz"/>
            <w:rFonts w:ascii="Calibri" w:hAnsi="Calibri" w:cs="Calibri"/>
            <w:color w:val="auto"/>
            <w:sz w:val="16"/>
            <w:szCs w:val="16"/>
          </w:rPr>
          <w:t>ETSC: Nové bezpečnostní standardy vozidel</w:t>
        </w:r>
      </w:hyperlink>
      <w:r w:rsidRPr="00287BC9">
        <w:rPr>
          <w:rStyle w:val="Hypertextovodkaz"/>
          <w:rFonts w:ascii="Calibri" w:hAnsi="Calibri" w:cs="Calibri"/>
          <w:color w:val="auto"/>
          <w:sz w:val="16"/>
          <w:szCs w:val="16"/>
          <w:u w:val="none"/>
        </w:rPr>
        <w:t xml:space="preserve"> (2018)</w:t>
      </w:r>
    </w:p>
    <w:p w:rsidR="00540605" w:rsidRPr="00540605" w:rsidRDefault="00540605" w:rsidP="00212D83">
      <w:pPr>
        <w:jc w:val="both"/>
        <w:rPr>
          <w:rStyle w:val="Hypertextovodkaz"/>
          <w:rFonts w:ascii="Calibri" w:hAnsi="Calibri" w:cs="Calibri"/>
          <w:color w:val="auto"/>
          <w:sz w:val="16"/>
          <w:szCs w:val="16"/>
          <w:u w:val="none"/>
        </w:rPr>
      </w:pPr>
      <w:r w:rsidRPr="00540605">
        <w:rPr>
          <w:rFonts w:ascii="Calibri" w:hAnsi="Calibri" w:cs="Calibri"/>
          <w:sz w:val="16"/>
          <w:szCs w:val="16"/>
        </w:rPr>
        <w:t>[</w:t>
      </w:r>
      <w:r w:rsidRPr="00540605">
        <w:rPr>
          <w:rFonts w:ascii="Calibri" w:hAnsi="Calibri" w:cs="Calibri"/>
          <w:sz w:val="16"/>
          <w:szCs w:val="16"/>
        </w:rPr>
        <w:t>4</w:t>
      </w:r>
      <w:r w:rsidRPr="00540605">
        <w:rPr>
          <w:rFonts w:ascii="Calibri" w:hAnsi="Calibri" w:cs="Calibri"/>
          <w:sz w:val="16"/>
          <w:szCs w:val="16"/>
        </w:rPr>
        <w:t>]</w:t>
      </w:r>
      <w:r w:rsidRPr="00540605">
        <w:rPr>
          <w:rFonts w:ascii="Calibri" w:hAnsi="Calibri" w:cs="Calibri"/>
          <w:sz w:val="16"/>
          <w:szCs w:val="16"/>
        </w:rPr>
        <w:t xml:space="preserve"> </w:t>
      </w:r>
      <w:hyperlink r:id="rId21" w:history="1">
        <w:r w:rsidRPr="00540605">
          <w:rPr>
            <w:rStyle w:val="Hypertextovodkaz"/>
            <w:rFonts w:ascii="Calibri" w:hAnsi="Calibri" w:cs="Calibri"/>
            <w:color w:val="auto"/>
            <w:sz w:val="16"/>
            <w:szCs w:val="16"/>
          </w:rPr>
          <w:t xml:space="preserve">Euro NCAP </w:t>
        </w:r>
        <w:proofErr w:type="spellStart"/>
        <w:r w:rsidRPr="00540605">
          <w:rPr>
            <w:rStyle w:val="Hypertextovodkaz"/>
            <w:rFonts w:ascii="Calibri" w:hAnsi="Calibri" w:cs="Calibri"/>
            <w:color w:val="auto"/>
            <w:sz w:val="16"/>
            <w:szCs w:val="16"/>
          </w:rPr>
          <w:t>Crash</w:t>
        </w:r>
        <w:proofErr w:type="spellEnd"/>
        <w:r w:rsidRPr="00540605">
          <w:rPr>
            <w:rStyle w:val="Hypertextovodkaz"/>
            <w:rFonts w:ascii="Calibri" w:hAnsi="Calibri" w:cs="Calibri"/>
            <w:color w:val="auto"/>
            <w:sz w:val="16"/>
            <w:szCs w:val="16"/>
          </w:rPr>
          <w:t xml:space="preserve"> Test </w:t>
        </w:r>
        <w:proofErr w:type="spellStart"/>
        <w:r w:rsidRPr="00540605">
          <w:rPr>
            <w:rStyle w:val="Hypertextovodkaz"/>
            <w:rFonts w:ascii="Calibri" w:hAnsi="Calibri" w:cs="Calibri"/>
            <w:color w:val="auto"/>
            <w:sz w:val="16"/>
            <w:szCs w:val="16"/>
          </w:rPr>
          <w:t>of</w:t>
        </w:r>
        <w:proofErr w:type="spellEnd"/>
        <w:r w:rsidRPr="00540605">
          <w:rPr>
            <w:rStyle w:val="Hypertextovodkaz"/>
            <w:rFonts w:ascii="Calibri" w:hAnsi="Calibri" w:cs="Calibri"/>
            <w:color w:val="auto"/>
            <w:sz w:val="16"/>
            <w:szCs w:val="16"/>
          </w:rPr>
          <w:t xml:space="preserve"> Nissan LEAF</w:t>
        </w:r>
      </w:hyperlink>
    </w:p>
    <w:sectPr w:rsidR="00540605" w:rsidRPr="00540605">
      <w:headerReference w:type="default" r:id="rId22"/>
      <w:footerReference w:type="default" r:id="rId2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1505" w:rsidRDefault="00DC1505" w:rsidP="0093701C">
      <w:r>
        <w:separator/>
      </w:r>
    </w:p>
  </w:endnote>
  <w:endnote w:type="continuationSeparator" w:id="0">
    <w:p w:rsidR="00DC1505" w:rsidRDefault="00DC1505" w:rsidP="00937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672D" w:rsidRPr="00753260" w:rsidRDefault="0073672D" w:rsidP="0073672D">
    <w:pPr>
      <w:pStyle w:val="Zhlav"/>
      <w:rPr>
        <w:rFonts w:asciiTheme="minorHAnsi" w:hAnsiTheme="minorHAnsi" w:cstheme="minorHAnsi"/>
        <w:color w:val="FF0066"/>
      </w:rPr>
    </w:pPr>
    <w:r w:rsidRPr="00753260">
      <w:rPr>
        <w:rFonts w:asciiTheme="minorHAnsi" w:hAnsiTheme="minorHAnsi" w:cstheme="minorHAnsi"/>
        <w:color w:val="FF0066"/>
      </w:rPr>
      <w:t>BEZPEČNOST NA SILNICÍCH - PRÁVO A ZODPOVĚDNOST KAŽDÉHO Z NÁS!</w:t>
    </w:r>
  </w:p>
  <w:p w:rsidR="0093701C" w:rsidRPr="0073672D" w:rsidRDefault="0093701C" w:rsidP="0093701C">
    <w:pPr>
      <w:pStyle w:val="Zpat"/>
      <w:rPr>
        <w:rFonts w:ascii="Calibri" w:hAnsi="Calibri" w:cs="Calibri"/>
        <w:sz w:val="16"/>
        <w:szCs w:val="16"/>
      </w:rPr>
    </w:pPr>
    <w:r w:rsidRPr="0073672D">
      <w:rPr>
        <w:rFonts w:ascii="Calibri" w:hAnsi="Calibri" w:cs="Calibri"/>
        <w:sz w:val="16"/>
        <w:szCs w:val="16"/>
      </w:rPr>
      <w:t>Ministerstvo dopravy</w:t>
    </w:r>
  </w:p>
  <w:p w:rsidR="0093701C" w:rsidRPr="0073672D" w:rsidRDefault="0093701C" w:rsidP="0093701C">
    <w:pPr>
      <w:pStyle w:val="Zpat"/>
      <w:rPr>
        <w:rFonts w:ascii="Calibri" w:hAnsi="Calibri" w:cs="Calibri"/>
        <w:sz w:val="16"/>
        <w:szCs w:val="16"/>
      </w:rPr>
    </w:pPr>
    <w:r w:rsidRPr="0073672D">
      <w:rPr>
        <w:rFonts w:ascii="Calibri" w:hAnsi="Calibri" w:cs="Calibri"/>
        <w:sz w:val="16"/>
        <w:szCs w:val="16"/>
      </w:rPr>
      <w:t>Samostatné oddělení BESIP</w:t>
    </w:r>
  </w:p>
  <w:p w:rsidR="0093701C" w:rsidRPr="0073672D" w:rsidRDefault="0093701C" w:rsidP="0093701C">
    <w:pPr>
      <w:pStyle w:val="Zpat"/>
      <w:rPr>
        <w:rFonts w:ascii="Calibri" w:hAnsi="Calibri" w:cs="Calibri"/>
        <w:sz w:val="16"/>
        <w:szCs w:val="16"/>
      </w:rPr>
    </w:pPr>
    <w:r w:rsidRPr="0073672D">
      <w:rPr>
        <w:rFonts w:ascii="Calibri" w:hAnsi="Calibri" w:cs="Calibri"/>
        <w:sz w:val="16"/>
        <w:szCs w:val="16"/>
      </w:rPr>
      <w:t>nábřeží Ludvíka Svobody 1222/12, 110 15 Praha 1</w:t>
    </w:r>
  </w:p>
  <w:p w:rsidR="0093701C" w:rsidRPr="0073672D" w:rsidRDefault="0093701C" w:rsidP="0093701C">
    <w:pPr>
      <w:pStyle w:val="Zpat"/>
      <w:rPr>
        <w:rFonts w:ascii="Calibri" w:hAnsi="Calibri" w:cs="Calibri"/>
        <w:sz w:val="16"/>
        <w:szCs w:val="16"/>
      </w:rPr>
    </w:pPr>
    <w:r w:rsidRPr="0073672D">
      <w:rPr>
        <w:rFonts w:ascii="Calibri" w:hAnsi="Calibri" w:cs="Calibri"/>
        <w:sz w:val="16"/>
        <w:szCs w:val="16"/>
      </w:rPr>
      <w:t>+420 225 131 070, posta@mdcr.cz, www.ibesip.cz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1505" w:rsidRDefault="00DC1505" w:rsidP="0093701C">
      <w:r>
        <w:separator/>
      </w:r>
    </w:p>
  </w:footnote>
  <w:footnote w:type="continuationSeparator" w:id="0">
    <w:p w:rsidR="00DC1505" w:rsidRDefault="00DC1505" w:rsidP="009370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701C" w:rsidRPr="00FB449F" w:rsidRDefault="0093701C" w:rsidP="0093701C">
    <w:pPr>
      <w:pStyle w:val="Zhlav"/>
      <w:jc w:val="right"/>
      <w:rPr>
        <w:rFonts w:asciiTheme="minorHAnsi" w:hAnsiTheme="minorHAnsi" w:cstheme="minorHAnsi"/>
        <w:color w:val="FF0066"/>
        <w:sz w:val="28"/>
        <w:szCs w:val="28"/>
      </w:rPr>
    </w:pPr>
    <w:r w:rsidRPr="00FB449F">
      <w:rPr>
        <w:rFonts w:asciiTheme="minorHAnsi" w:hAnsiTheme="minorHAnsi" w:cstheme="minorHAnsi"/>
        <w:noProof/>
        <w:color w:val="FF0066"/>
        <w:sz w:val="28"/>
        <w:szCs w:val="28"/>
      </w:rPr>
      <w:drawing>
        <wp:anchor distT="0" distB="0" distL="114300" distR="114300" simplePos="0" relativeHeight="251659264" behindDoc="0" locked="0" layoutInCell="1" allowOverlap="1" wp14:anchorId="31B35021" wp14:editId="4715C460">
          <wp:simplePos x="0" y="0"/>
          <wp:positionH relativeFrom="column">
            <wp:posOffset>-802167</wp:posOffset>
          </wp:positionH>
          <wp:positionV relativeFrom="paragraph">
            <wp:posOffset>-352425</wp:posOffset>
          </wp:positionV>
          <wp:extent cx="720000" cy="720000"/>
          <wp:effectExtent l="0" t="0" r="4445" b="4445"/>
          <wp:wrapNone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BESIP - pod graf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B449F">
      <w:rPr>
        <w:rFonts w:asciiTheme="minorHAnsi" w:hAnsiTheme="minorHAnsi" w:cstheme="minorHAnsi"/>
        <w:color w:val="FF0066"/>
        <w:sz w:val="28"/>
        <w:szCs w:val="28"/>
      </w:rPr>
      <w:t>Tisková zpráva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470E0"/>
    <w:multiLevelType w:val="hybridMultilevel"/>
    <w:tmpl w:val="DCF67DB6"/>
    <w:lvl w:ilvl="0" w:tplc="4DB80DB2">
      <w:start w:val="3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FC0841"/>
    <w:multiLevelType w:val="hybridMultilevel"/>
    <w:tmpl w:val="08E22528"/>
    <w:lvl w:ilvl="0" w:tplc="B49416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01C"/>
    <w:rsid w:val="000520F0"/>
    <w:rsid w:val="00097428"/>
    <w:rsid w:val="000C2956"/>
    <w:rsid w:val="00104099"/>
    <w:rsid w:val="00104111"/>
    <w:rsid w:val="00120840"/>
    <w:rsid w:val="00190584"/>
    <w:rsid w:val="001E357E"/>
    <w:rsid w:val="00205CCD"/>
    <w:rsid w:val="00212D83"/>
    <w:rsid w:val="00287BC9"/>
    <w:rsid w:val="00301FAA"/>
    <w:rsid w:val="00336D03"/>
    <w:rsid w:val="0034539F"/>
    <w:rsid w:val="00346BB5"/>
    <w:rsid w:val="003F6AC8"/>
    <w:rsid w:val="00407371"/>
    <w:rsid w:val="004A5115"/>
    <w:rsid w:val="0051312D"/>
    <w:rsid w:val="005367C7"/>
    <w:rsid w:val="00540605"/>
    <w:rsid w:val="00582E93"/>
    <w:rsid w:val="00655E92"/>
    <w:rsid w:val="00662B04"/>
    <w:rsid w:val="00692262"/>
    <w:rsid w:val="006D5CA4"/>
    <w:rsid w:val="006F3C2A"/>
    <w:rsid w:val="0070428F"/>
    <w:rsid w:val="00707882"/>
    <w:rsid w:val="007150E5"/>
    <w:rsid w:val="0073672D"/>
    <w:rsid w:val="0075179A"/>
    <w:rsid w:val="00753260"/>
    <w:rsid w:val="00756AF3"/>
    <w:rsid w:val="00763BDE"/>
    <w:rsid w:val="007C265E"/>
    <w:rsid w:val="007F64B3"/>
    <w:rsid w:val="0086419B"/>
    <w:rsid w:val="00885510"/>
    <w:rsid w:val="00887BC7"/>
    <w:rsid w:val="009122D3"/>
    <w:rsid w:val="0093701C"/>
    <w:rsid w:val="009425B0"/>
    <w:rsid w:val="00953E09"/>
    <w:rsid w:val="009C6053"/>
    <w:rsid w:val="00A04E99"/>
    <w:rsid w:val="00A210DF"/>
    <w:rsid w:val="00A370A9"/>
    <w:rsid w:val="00A45114"/>
    <w:rsid w:val="00AF4EC0"/>
    <w:rsid w:val="00B93E47"/>
    <w:rsid w:val="00BF5DA9"/>
    <w:rsid w:val="00C02869"/>
    <w:rsid w:val="00C628BB"/>
    <w:rsid w:val="00CB5362"/>
    <w:rsid w:val="00CB57F2"/>
    <w:rsid w:val="00D26C91"/>
    <w:rsid w:val="00D33911"/>
    <w:rsid w:val="00D34E6C"/>
    <w:rsid w:val="00D52EA0"/>
    <w:rsid w:val="00DC1505"/>
    <w:rsid w:val="00E12E47"/>
    <w:rsid w:val="00E77585"/>
    <w:rsid w:val="00E84DE7"/>
    <w:rsid w:val="00EA5794"/>
    <w:rsid w:val="00EB48BE"/>
    <w:rsid w:val="00EE6F77"/>
    <w:rsid w:val="00EF264F"/>
    <w:rsid w:val="00F37A82"/>
    <w:rsid w:val="00FB449F"/>
    <w:rsid w:val="00FC7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A2EA24A-D2C7-4035-A4DA-0824D9F32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370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82E93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93701C"/>
    <w:pPr>
      <w:spacing w:before="100" w:beforeAutospacing="1" w:after="100" w:afterAutospacing="1"/>
    </w:pPr>
  </w:style>
  <w:style w:type="paragraph" w:styleId="Zhlav">
    <w:name w:val="header"/>
    <w:basedOn w:val="Normln"/>
    <w:link w:val="ZhlavChar"/>
    <w:uiPriority w:val="99"/>
    <w:unhideWhenUsed/>
    <w:rsid w:val="0093701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3701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3701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3701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rsid w:val="0093701C"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582E93"/>
    <w:rPr>
      <w:rFonts w:asciiTheme="majorHAnsi" w:eastAsiaTheme="majorEastAsia" w:hAnsiTheme="majorHAnsi" w:cstheme="majorBidi"/>
      <w:b/>
      <w:bCs/>
      <w:color w:val="5B9BD5" w:themeColor="accent1"/>
      <w:lang w:eastAsia="cs-CZ"/>
    </w:rPr>
  </w:style>
  <w:style w:type="table" w:styleId="Mkatabulky">
    <w:name w:val="Table Grid"/>
    <w:basedOn w:val="Normlntabulka"/>
    <w:uiPriority w:val="59"/>
    <w:rsid w:val="00582E93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B536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C265E"/>
    <w:rPr>
      <w:rFonts w:ascii="Tahoma" w:eastAsiaTheme="minorEastAsi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265E"/>
    <w:rPr>
      <w:rFonts w:ascii="Tahoma" w:eastAsiaTheme="minorEastAsi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image" Target="media/image4.png"/><Relationship Id="rId18" Type="http://schemas.openxmlformats.org/officeDocument/2006/relationships/hyperlink" Target="https://www.ibesip.cz/getattachment/c69c824c-f418-48bf-977f-16ce00384fe1/Chodci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CVeSCjgACiA&amp;feature=youtu.be" TargetMode="External"/><Relationship Id="rId7" Type="http://schemas.openxmlformats.org/officeDocument/2006/relationships/image" Target="media/image1.emf"/><Relationship Id="rId12" Type="http://schemas.openxmlformats.org/officeDocument/2006/relationships/hyperlink" Target="http://nehody.cdv.cz/statistics.php?h=4k" TargetMode="External"/><Relationship Id="rId17" Type="http://schemas.openxmlformats.org/officeDocument/2006/relationships/hyperlink" Target="mailto:tomas.nerold@mdcr.cz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hyperlink" Target="https://www.cdv.cz/tisk/nove-bezpecnostni-standardy-vozidel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2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jpg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hyperlink" Target="http://www.vyzkumnehod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AUoIqnBuhPQ" TargetMode="External"/><Relationship Id="rId14" Type="http://schemas.openxmlformats.org/officeDocument/2006/relationships/hyperlink" Target="https://www.youtube.com/watch?v=CVeSCjgACiA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5" Type="http://schemas.openxmlformats.org/officeDocument/2006/relationships/chartUserShapes" Target="../drawings/drawing1.xml"/><Relationship Id="rId4" Type="http://schemas.openxmlformats.org/officeDocument/2006/relationships/oleObject" Target="file:///D:\Users\Kadula\BESIP\2019\1%20-%20zdrojov&#233;%20excely\Chodci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5" Type="http://schemas.openxmlformats.org/officeDocument/2006/relationships/chartUserShapes" Target="../drawings/drawing2.xml"/><Relationship Id="rId4" Type="http://schemas.openxmlformats.org/officeDocument/2006/relationships/oleObject" Target="file:///D:\Users\Kadula\BESIP\2019\1%20-%20zdrojov&#233;%20excely\Chodci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cs-CZ"/>
              <a:t>Podíl viníků na usmrcených </a:t>
            </a:r>
            <a:r>
              <a:rPr lang="cs-CZ" sz="1400" b="0" i="0" u="sng" strike="noStrike" baseline="0">
                <a:effectLst/>
              </a:rPr>
              <a:t>chodcích</a:t>
            </a:r>
            <a:r>
              <a:rPr lang="cs-CZ" sz="1400" b="0" i="0" u="none" strike="noStrike" baseline="0">
                <a:effectLst/>
              </a:rPr>
              <a:t> </a:t>
            </a:r>
            <a:r>
              <a:rPr lang="cs-CZ"/>
              <a:t>v ČR v roce 2018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title>
    <c:autoTitleDeleted val="0"/>
    <c:plotArea>
      <c:layout/>
      <c:doughnutChart>
        <c:varyColors val="1"/>
        <c:ser>
          <c:idx val="0"/>
          <c:order val="0"/>
          <c:dPt>
            <c:idx val="0"/>
            <c:bubble3D val="0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>
                  <a:shade val="76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2">
                  <a:tint val="77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2">
                  <a:tint val="7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5"/>
            <c:bubble3D val="0"/>
            <c:spPr>
              <a:solidFill>
                <a:schemeClr val="accent2">
                  <a:tint val="54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0.14046935262673735"/>
                  <c:y val="4.225008649828334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cs-CZ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1728099167959058"/>
                  <c:y val="6.1259581348308549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0.1377392938381175"/>
                  <c:y val="-4.0140193756154727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0.13228949175045585"/>
                  <c:y val="-7.6004877172437674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9.5525731612666684E-2"/>
                  <c:y val="-8.8727277566337526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0.10640062159420939"/>
                  <c:y val="-8.4496014425252175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kategorie!$B$25:$B$30</c:f>
              <c:strCache>
                <c:ptCount val="6"/>
                <c:pt idx="0">
                  <c:v>řidič osobního vozidla</c:v>
                </c:pt>
                <c:pt idx="1">
                  <c:v>chodec</c:v>
                </c:pt>
                <c:pt idx="2">
                  <c:v>řidič nákladního vozidla</c:v>
                </c:pt>
                <c:pt idx="3">
                  <c:v>řidič autobusu</c:v>
                </c:pt>
                <c:pt idx="4">
                  <c:v>řidič motocyklu</c:v>
                </c:pt>
                <c:pt idx="5">
                  <c:v>ostatní účastníci silničního provozu</c:v>
                </c:pt>
              </c:strCache>
            </c:strRef>
          </c:cat>
          <c:val>
            <c:numRef>
              <c:f>kategorie!$C$25:$C$30</c:f>
              <c:numCache>
                <c:formatCode>General</c:formatCode>
                <c:ptCount val="6"/>
                <c:pt idx="0">
                  <c:v>64</c:v>
                </c:pt>
                <c:pt idx="1">
                  <c:v>20</c:v>
                </c:pt>
                <c:pt idx="2">
                  <c:v>8</c:v>
                </c:pt>
                <c:pt idx="3">
                  <c:v>6</c:v>
                </c:pt>
                <c:pt idx="4">
                  <c:v>3</c:v>
                </c:pt>
                <c:pt idx="5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s-CZ"/>
    </a:p>
  </c:txPr>
  <c:externalData r:id="rId4">
    <c:autoUpdate val="0"/>
  </c:externalData>
  <c:userShapes r:id="rId5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cs-CZ"/>
              <a:t>Vývoj usmrcených chodců ve dne a v noci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title>
    <c:autoTitleDeleted val="0"/>
    <c:plotArea>
      <c:layout>
        <c:manualLayout>
          <c:layoutTarget val="inner"/>
          <c:xMode val="edge"/>
          <c:yMode val="edge"/>
          <c:x val="7.5872981155133384E-2"/>
          <c:y val="8.8765765750801057E-2"/>
          <c:w val="0.84120092627310472"/>
          <c:h val="0.7379489935771680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'Den-noc'!$B$1</c:f>
              <c:strCache>
                <c:ptCount val="1"/>
                <c:pt idx="0">
                  <c:v>ve dne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'Den-noc'!$A$14:$A$27</c:f>
              <c:numCache>
                <c:formatCode>General</c:formatCode>
                <c:ptCount val="14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  <c:pt idx="11">
                  <c:v>2016</c:v>
                </c:pt>
                <c:pt idx="12">
                  <c:v>2017</c:v>
                </c:pt>
                <c:pt idx="13">
                  <c:v>2018</c:v>
                </c:pt>
              </c:numCache>
            </c:numRef>
          </c:cat>
          <c:val>
            <c:numRef>
              <c:f>'Den-noc'!$B$14:$B$27</c:f>
              <c:numCache>
                <c:formatCode>#,##0</c:formatCode>
                <c:ptCount val="14"/>
                <c:pt idx="0">
                  <c:v>105</c:v>
                </c:pt>
                <c:pt idx="1">
                  <c:v>75</c:v>
                </c:pt>
                <c:pt idx="2">
                  <c:v>64</c:v>
                </c:pt>
                <c:pt idx="3">
                  <c:v>81</c:v>
                </c:pt>
                <c:pt idx="4">
                  <c:v>52</c:v>
                </c:pt>
                <c:pt idx="5">
                  <c:v>67</c:v>
                </c:pt>
                <c:pt idx="6">
                  <c:v>62</c:v>
                </c:pt>
                <c:pt idx="7">
                  <c:v>60</c:v>
                </c:pt>
                <c:pt idx="8">
                  <c:v>54</c:v>
                </c:pt>
                <c:pt idx="9">
                  <c:v>47</c:v>
                </c:pt>
                <c:pt idx="10">
                  <c:v>59</c:v>
                </c:pt>
                <c:pt idx="11">
                  <c:v>45</c:v>
                </c:pt>
                <c:pt idx="12">
                  <c:v>48</c:v>
                </c:pt>
                <c:pt idx="13">
                  <c:v>55</c:v>
                </c:pt>
              </c:numCache>
            </c:numRef>
          </c:val>
        </c:ser>
        <c:ser>
          <c:idx val="1"/>
          <c:order val="1"/>
          <c:tx>
            <c:strRef>
              <c:f>'Den-noc'!$C$1</c:f>
              <c:strCache>
                <c:ptCount val="1"/>
                <c:pt idx="0">
                  <c:v>v noci</c:v>
                </c:pt>
              </c:strCache>
            </c:strRef>
          </c:tx>
          <c:spPr>
            <a:solidFill>
              <a:schemeClr val="tx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'Den-noc'!$A$14:$A$27</c:f>
              <c:numCache>
                <c:formatCode>General</c:formatCode>
                <c:ptCount val="14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  <c:pt idx="11">
                  <c:v>2016</c:v>
                </c:pt>
                <c:pt idx="12">
                  <c:v>2017</c:v>
                </c:pt>
                <c:pt idx="13">
                  <c:v>2018</c:v>
                </c:pt>
              </c:numCache>
            </c:numRef>
          </c:cat>
          <c:val>
            <c:numRef>
              <c:f>'Den-noc'!$C$14:$C$27</c:f>
              <c:numCache>
                <c:formatCode>#,##0</c:formatCode>
                <c:ptCount val="14"/>
                <c:pt idx="0">
                  <c:v>139</c:v>
                </c:pt>
                <c:pt idx="1">
                  <c:v>96</c:v>
                </c:pt>
                <c:pt idx="2">
                  <c:v>128</c:v>
                </c:pt>
                <c:pt idx="3">
                  <c:v>122</c:v>
                </c:pt>
                <c:pt idx="4">
                  <c:v>99</c:v>
                </c:pt>
                <c:pt idx="5">
                  <c:v>74</c:v>
                </c:pt>
                <c:pt idx="6">
                  <c:v>94</c:v>
                </c:pt>
                <c:pt idx="7">
                  <c:v>86</c:v>
                </c:pt>
                <c:pt idx="8">
                  <c:v>80</c:v>
                </c:pt>
                <c:pt idx="9">
                  <c:v>65</c:v>
                </c:pt>
                <c:pt idx="10">
                  <c:v>72</c:v>
                </c:pt>
                <c:pt idx="11">
                  <c:v>66</c:v>
                </c:pt>
                <c:pt idx="12">
                  <c:v>53</c:v>
                </c:pt>
                <c:pt idx="13">
                  <c:v>58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20897936"/>
        <c:axId val="520898328"/>
      </c:barChart>
      <c:lineChart>
        <c:grouping val="standard"/>
        <c:varyColors val="0"/>
        <c:ser>
          <c:idx val="2"/>
          <c:order val="2"/>
          <c:tx>
            <c:v>podíl chodců usmrcených v noci</c:v>
          </c:tx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dLbls>
            <c:spPr>
              <a:solidFill>
                <a:schemeClr val="bg1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'Den-noc'!$E$14:$E$27</c:f>
              <c:numCache>
                <c:formatCode>0%</c:formatCode>
                <c:ptCount val="14"/>
                <c:pt idx="0">
                  <c:v>0.56967213114754101</c:v>
                </c:pt>
                <c:pt idx="1">
                  <c:v>0.56140350877192979</c:v>
                </c:pt>
                <c:pt idx="2">
                  <c:v>0.66666666666666663</c:v>
                </c:pt>
                <c:pt idx="3">
                  <c:v>0.60098522167487689</c:v>
                </c:pt>
                <c:pt idx="4">
                  <c:v>0.6556291390728477</c:v>
                </c:pt>
                <c:pt idx="5">
                  <c:v>0.52482269503546097</c:v>
                </c:pt>
                <c:pt idx="6">
                  <c:v>0.60256410256410253</c:v>
                </c:pt>
                <c:pt idx="7">
                  <c:v>0.58904109589041098</c:v>
                </c:pt>
                <c:pt idx="8">
                  <c:v>0.59701492537313428</c:v>
                </c:pt>
                <c:pt idx="9">
                  <c:v>0.5803571428571429</c:v>
                </c:pt>
                <c:pt idx="10">
                  <c:v>0.54961832061068705</c:v>
                </c:pt>
                <c:pt idx="11">
                  <c:v>0.59459459459459463</c:v>
                </c:pt>
                <c:pt idx="12">
                  <c:v>0.52475247524752477</c:v>
                </c:pt>
                <c:pt idx="13">
                  <c:v>0.51327433628318586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20891272"/>
        <c:axId val="520890880"/>
      </c:lineChart>
      <c:catAx>
        <c:axId val="52089793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cs-CZ"/>
                  <a:t>Rok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cs-CZ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520898328"/>
        <c:crosses val="autoZero"/>
        <c:auto val="1"/>
        <c:lblAlgn val="ctr"/>
        <c:lblOffset val="100"/>
        <c:noMultiLvlLbl val="0"/>
      </c:catAx>
      <c:valAx>
        <c:axId val="5208983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cs-CZ"/>
                  <a:t>Počet usmrcených chodců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cs-CZ"/>
            </a:p>
          </c:txPr>
        </c:title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520897936"/>
        <c:crosses val="autoZero"/>
        <c:crossBetween val="between"/>
      </c:valAx>
      <c:valAx>
        <c:axId val="520890880"/>
        <c:scaling>
          <c:orientation val="minMax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cs-CZ"/>
                  <a:t>Podíl chodců usmrcených v noci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cs-CZ"/>
            </a:p>
          </c:txPr>
        </c:title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520891272"/>
        <c:crosses val="max"/>
        <c:crossBetween val="between"/>
      </c:valAx>
      <c:catAx>
        <c:axId val="520891272"/>
        <c:scaling>
          <c:orientation val="minMax"/>
        </c:scaling>
        <c:delete val="1"/>
        <c:axPos val="b"/>
        <c:majorTickMark val="out"/>
        <c:minorTickMark val="none"/>
        <c:tickLblPos val="nextTo"/>
        <c:crossAx val="52089088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s-CZ"/>
    </a:p>
  </c:txPr>
  <c:externalData r:id="rId4">
    <c:autoUpdate val="0"/>
  </c:externalData>
  <c:userShapes r:id="rId5"/>
</c:chartSpace>
</file>

<file path=word/charts/colors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2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drawing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0.69558</cdr:x>
      <cdr:y>0.95691</cdr:y>
    </cdr:from>
    <cdr:to>
      <cdr:x>1</cdr:x>
      <cdr:y>1</cdr:y>
    </cdr:to>
    <cdr:sp macro="" textlink="">
      <cdr:nvSpPr>
        <cdr:cNvPr id="2" name="TextovéPole 1"/>
        <cdr:cNvSpPr txBox="1"/>
      </cdr:nvSpPr>
      <cdr:spPr>
        <a:xfrm xmlns:a="http://schemas.openxmlformats.org/drawingml/2006/main">
          <a:off x="6476991" y="5753115"/>
          <a:ext cx="2834649" cy="25906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cs-CZ" sz="900" b="0" i="1">
              <a:solidFill>
                <a:schemeClr val="bg1">
                  <a:lumMod val="50000"/>
                </a:schemeClr>
              </a:solidFill>
              <a:effectLst/>
              <a:latin typeface="+mn-lt"/>
              <a:ea typeface="+mn-ea"/>
              <a:cs typeface="+mn-cs"/>
            </a:rPr>
            <a:t>Zdroj vstupních dat: ŘSDP PP ČR</a:t>
          </a:r>
          <a:r>
            <a:rPr lang="cs-CZ" sz="900" b="0" i="1" baseline="0">
              <a:solidFill>
                <a:schemeClr val="bg1">
                  <a:lumMod val="50000"/>
                </a:schemeClr>
              </a:solidFill>
              <a:effectLst/>
              <a:latin typeface="+mn-lt"/>
              <a:ea typeface="+mn-ea"/>
              <a:cs typeface="+mn-cs"/>
            </a:rPr>
            <a:t>; </a:t>
          </a:r>
          <a:r>
            <a:rPr lang="cs-CZ" sz="900" b="0" i="1">
              <a:solidFill>
                <a:schemeClr val="bg1">
                  <a:lumMod val="50000"/>
                </a:schemeClr>
              </a:solidFill>
              <a:effectLst/>
              <a:latin typeface="+mn-lt"/>
              <a:ea typeface="+mn-ea"/>
              <a:cs typeface="+mn-cs"/>
            </a:rPr>
            <a:t>Copyright © BESIP/CDV</a:t>
          </a:r>
          <a:endParaRPr lang="cs-CZ" sz="900" b="0" i="1">
            <a:solidFill>
              <a:schemeClr val="bg1">
                <a:lumMod val="50000"/>
              </a:schemeClr>
            </a:solidFill>
          </a:endParaRPr>
        </a:p>
      </cdr:txBody>
    </cdr:sp>
  </cdr:relSizeAnchor>
  <cdr:relSizeAnchor xmlns:cdr="http://schemas.openxmlformats.org/drawingml/2006/chartDrawing">
    <cdr:from>
      <cdr:x>0.48449</cdr:x>
      <cdr:y>0.48377</cdr:y>
    </cdr:from>
    <cdr:to>
      <cdr:x>0.5169</cdr:x>
      <cdr:y>0.54356</cdr:y>
    </cdr:to>
    <cdr:pic>
      <cdr:nvPicPr>
        <cdr:cNvPr id="4" name="Obrázek 3"/>
        <cdr:cNvPicPr/>
      </cdr:nvPicPr>
      <cdr:blipFill>
        <a:blip xmlns:a="http://schemas.openxmlformats.org/drawingml/2006/main" xmlns:r="http://schemas.openxmlformats.org/officeDocument/2006/relationships" r:embed="rId1" cstate="print">
          <a:extLst>
            <a:ext uri="{28A0092B-C50C-407E-A947-70E740481C1C}">
              <a14:useLocalDpi xmlns:a14="http://schemas.microsoft.com/office/drawing/2010/main" val="0"/>
            </a:ext>
          </a:extLst>
        </a:blip>
        <a:stretch xmlns:a="http://schemas.openxmlformats.org/drawingml/2006/main">
          <a:fillRect/>
        </a:stretch>
      </cdr:blipFill>
      <cdr:spPr>
        <a:xfrm xmlns:a="http://schemas.openxmlformats.org/drawingml/2006/main">
          <a:off x="4508813" y="2908300"/>
          <a:ext cx="301625" cy="359410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0.69562</cdr:x>
      <cdr:y>0.95693</cdr:y>
    </cdr:from>
    <cdr:to>
      <cdr:x>1</cdr:x>
      <cdr:y>1</cdr:y>
    </cdr:to>
    <cdr:sp macro="" textlink="">
      <cdr:nvSpPr>
        <cdr:cNvPr id="3" name="TextovéPole 1"/>
        <cdr:cNvSpPr txBox="1"/>
      </cdr:nvSpPr>
      <cdr:spPr>
        <a:xfrm xmlns:a="http://schemas.openxmlformats.org/drawingml/2006/main">
          <a:off x="6472077" y="5760544"/>
          <a:ext cx="2831943" cy="25925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cs-CZ" sz="900" b="0" i="1">
              <a:solidFill>
                <a:schemeClr val="bg1">
                  <a:lumMod val="50000"/>
                </a:schemeClr>
              </a:solidFill>
              <a:effectLst/>
              <a:latin typeface="+mn-lt"/>
              <a:ea typeface="+mn-ea"/>
              <a:cs typeface="+mn-cs"/>
            </a:rPr>
            <a:t>Zdroj vstupních dat: ŘSDP PP ČR</a:t>
          </a:r>
          <a:r>
            <a:rPr lang="cs-CZ" sz="900" b="0" i="1" baseline="0">
              <a:solidFill>
                <a:schemeClr val="bg1">
                  <a:lumMod val="50000"/>
                </a:schemeClr>
              </a:solidFill>
              <a:effectLst/>
              <a:latin typeface="+mn-lt"/>
              <a:ea typeface="+mn-ea"/>
              <a:cs typeface="+mn-cs"/>
            </a:rPr>
            <a:t>; </a:t>
          </a:r>
          <a:r>
            <a:rPr lang="cs-CZ" sz="900" b="0" i="1">
              <a:solidFill>
                <a:schemeClr val="bg1">
                  <a:lumMod val="50000"/>
                </a:schemeClr>
              </a:solidFill>
              <a:effectLst/>
              <a:latin typeface="+mn-lt"/>
              <a:ea typeface="+mn-ea"/>
              <a:cs typeface="+mn-cs"/>
            </a:rPr>
            <a:t>Copyright © BESIP/CDV</a:t>
          </a:r>
          <a:endParaRPr lang="cs-CZ" sz="900" b="0" i="1">
            <a:solidFill>
              <a:schemeClr val="bg1">
                <a:lumMod val="50000"/>
              </a:schemeClr>
            </a:solidFill>
          </a:endParaRPr>
        </a:p>
      </cdr:txBody>
    </cdr:sp>
  </cdr:relSizeAnchor>
  <cdr:relSizeAnchor xmlns:cdr="http://schemas.openxmlformats.org/drawingml/2006/chartDrawing">
    <cdr:from>
      <cdr:x>0.87319</cdr:x>
      <cdr:y>0.10396</cdr:y>
    </cdr:from>
    <cdr:to>
      <cdr:x>0.90561</cdr:x>
      <cdr:y>0.16376</cdr:y>
    </cdr:to>
    <cdr:pic>
      <cdr:nvPicPr>
        <cdr:cNvPr id="4" name="Obrázek 3"/>
        <cdr:cNvPicPr/>
      </cdr:nvPicPr>
      <cdr:blipFill>
        <a:blip xmlns:a="http://schemas.openxmlformats.org/drawingml/2006/main" xmlns:r="http://schemas.openxmlformats.org/officeDocument/2006/relationships" r:embed="rId1" cstate="print">
          <a:extLst>
            <a:ext uri="{28A0092B-C50C-407E-A947-70E740481C1C}">
              <a14:useLocalDpi xmlns:a14="http://schemas.microsoft.com/office/drawing/2010/main" val="0"/>
            </a:ext>
          </a:extLst>
        </a:blip>
        <a:stretch xmlns:a="http://schemas.openxmlformats.org/drawingml/2006/main">
          <a:fillRect/>
        </a:stretch>
      </cdr:blipFill>
      <cdr:spPr>
        <a:xfrm xmlns:a="http://schemas.openxmlformats.org/drawingml/2006/main">
          <a:off x="5030181" y="386856"/>
          <a:ext cx="186763" cy="222522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Kancelář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Kancelář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Kancelář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Kancelář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</TotalTime>
  <Pages>5</Pages>
  <Words>1304</Words>
  <Characters>7700</Characters>
  <Application>Microsoft Office Word</Application>
  <DocSecurity>0</DocSecurity>
  <Lines>64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Kadula</dc:creator>
  <cp:keywords/>
  <dc:description/>
  <cp:lastModifiedBy>Lukáš Kadula</cp:lastModifiedBy>
  <cp:revision>38</cp:revision>
  <dcterms:created xsi:type="dcterms:W3CDTF">2019-07-17T06:46:00Z</dcterms:created>
  <dcterms:modified xsi:type="dcterms:W3CDTF">2019-08-01T06:21:00Z</dcterms:modified>
</cp:coreProperties>
</file>