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F6CEC5" w14:textId="31CFCC11" w:rsidR="00323EFE" w:rsidRDefault="00C76D36" w:rsidP="00D062F3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70C0"/>
          <w:sz w:val="28"/>
          <w:szCs w:val="28"/>
        </w:rPr>
      </w:pPr>
      <w:r>
        <w:rPr>
          <w:rFonts w:asciiTheme="minorHAnsi" w:hAnsiTheme="minorHAnsi" w:cstheme="minorHAnsi"/>
          <w:color w:val="0070C0"/>
          <w:sz w:val="28"/>
          <w:szCs w:val="28"/>
        </w:rPr>
        <w:t>V lednu zemřelo na silnicích 34 lidí, narostl počet obětí mezi chodci a seniory</w:t>
      </w:r>
    </w:p>
    <w:p w14:paraId="56622BD9" w14:textId="07E07AD2" w:rsidR="004C1D1F" w:rsidRPr="00DE1CC9" w:rsidRDefault="00323EFE" w:rsidP="00D062F3">
      <w:pPr>
        <w:jc w:val="both"/>
        <w:rPr>
          <w:rFonts w:asciiTheme="minorHAnsi" w:hAnsiTheme="minorHAnsi" w:cstheme="minorHAnsi"/>
          <w:i/>
          <w:sz w:val="21"/>
          <w:szCs w:val="21"/>
        </w:rPr>
      </w:pPr>
      <w:r>
        <w:rPr>
          <w:rFonts w:asciiTheme="minorHAnsi" w:hAnsiTheme="minorHAnsi" w:cstheme="minorHAnsi"/>
          <w:i/>
          <w:sz w:val="21"/>
          <w:szCs w:val="21"/>
        </w:rPr>
        <w:t>1</w:t>
      </w:r>
      <w:r w:rsidR="00950410">
        <w:rPr>
          <w:rFonts w:asciiTheme="minorHAnsi" w:hAnsiTheme="minorHAnsi" w:cstheme="minorHAnsi"/>
          <w:i/>
          <w:sz w:val="21"/>
          <w:szCs w:val="21"/>
        </w:rPr>
        <w:t>4. února</w:t>
      </w:r>
      <w:r w:rsidR="004C1D1F">
        <w:rPr>
          <w:rFonts w:asciiTheme="minorHAnsi" w:hAnsiTheme="minorHAnsi" w:cstheme="minorHAnsi"/>
          <w:i/>
          <w:sz w:val="21"/>
          <w:szCs w:val="21"/>
        </w:rPr>
        <w:t xml:space="preserve"> 20</w:t>
      </w:r>
      <w:r w:rsidR="00D41447">
        <w:rPr>
          <w:rFonts w:asciiTheme="minorHAnsi" w:hAnsiTheme="minorHAnsi" w:cstheme="minorHAnsi"/>
          <w:i/>
          <w:sz w:val="21"/>
          <w:szCs w:val="21"/>
        </w:rPr>
        <w:t>20</w:t>
      </w:r>
      <w:r w:rsidR="004C1D1F">
        <w:rPr>
          <w:rFonts w:asciiTheme="minorHAnsi" w:hAnsiTheme="minorHAnsi" w:cstheme="minorHAnsi"/>
          <w:i/>
          <w:sz w:val="21"/>
          <w:szCs w:val="21"/>
        </w:rPr>
        <w:t xml:space="preserve">, </w:t>
      </w:r>
      <w:r w:rsidR="00D41447">
        <w:rPr>
          <w:rFonts w:asciiTheme="minorHAnsi" w:hAnsiTheme="minorHAnsi" w:cstheme="minorHAnsi"/>
          <w:i/>
          <w:sz w:val="21"/>
          <w:szCs w:val="21"/>
        </w:rPr>
        <w:t>Praha</w:t>
      </w:r>
    </w:p>
    <w:p w14:paraId="0F38FB80" w14:textId="475A1519" w:rsidR="004C1D1F" w:rsidRPr="004F3045" w:rsidRDefault="004C1D1F" w:rsidP="004C1D1F">
      <w:pPr>
        <w:jc w:val="both"/>
        <w:rPr>
          <w:rFonts w:asciiTheme="minorHAnsi" w:hAnsiTheme="minorHAnsi" w:cstheme="minorHAnsi"/>
          <w:sz w:val="21"/>
          <w:szCs w:val="21"/>
        </w:rPr>
      </w:pPr>
    </w:p>
    <w:p w14:paraId="330E4B1A" w14:textId="357B0388" w:rsidR="00E70960" w:rsidRPr="00E70960" w:rsidRDefault="00323EFE" w:rsidP="005F5D97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70960">
        <w:rPr>
          <w:b/>
          <w:noProof/>
        </w:rPr>
        <w:drawing>
          <wp:anchor distT="0" distB="0" distL="114300" distR="114300" simplePos="0" relativeHeight="251675648" behindDoc="1" locked="0" layoutInCell="1" allowOverlap="1" wp14:anchorId="20F660C9" wp14:editId="444C7C24">
            <wp:simplePos x="0" y="0"/>
            <wp:positionH relativeFrom="margin">
              <wp:posOffset>1835150</wp:posOffset>
            </wp:positionH>
            <wp:positionV relativeFrom="paragraph">
              <wp:posOffset>11430</wp:posOffset>
            </wp:positionV>
            <wp:extent cx="3917950" cy="2940050"/>
            <wp:effectExtent l="0" t="0" r="6350" b="0"/>
            <wp:wrapTight wrapText="bothSides">
              <wp:wrapPolygon edited="0">
                <wp:start x="0" y="0"/>
                <wp:lineTo x="0" y="21413"/>
                <wp:lineTo x="21530" y="21413"/>
                <wp:lineTo x="21530" y="0"/>
                <wp:lineTo x="0" y="0"/>
              </wp:wrapPolygon>
            </wp:wrapTight>
            <wp:docPr id="3" name="Obrázek 3" descr="Senior, Starší, Lidé, Pár, Osoby, Staré, Přátel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nior, Starší, Lidé, Pár, Osoby, Staré, Přátelé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0" cy="294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64FF" w:rsidRPr="00E70960">
        <w:rPr>
          <w:rFonts w:asciiTheme="minorHAnsi" w:hAnsiTheme="minorHAnsi" w:cstheme="minorHAnsi"/>
          <w:b/>
          <w:bCs/>
          <w:sz w:val="22"/>
          <w:szCs w:val="22"/>
        </w:rPr>
        <w:t>Letošní rok</w:t>
      </w:r>
      <w:r w:rsidR="009530BB" w:rsidRPr="00E70960">
        <w:rPr>
          <w:rFonts w:asciiTheme="minorHAnsi" w:hAnsiTheme="minorHAnsi" w:cstheme="minorHAnsi"/>
          <w:b/>
          <w:bCs/>
          <w:sz w:val="22"/>
          <w:szCs w:val="22"/>
        </w:rPr>
        <w:t xml:space="preserve"> začal na silnicích</w:t>
      </w:r>
      <w:r w:rsidR="00045A91">
        <w:rPr>
          <w:rFonts w:asciiTheme="minorHAnsi" w:hAnsiTheme="minorHAnsi" w:cstheme="minorHAnsi"/>
          <w:b/>
          <w:bCs/>
          <w:sz w:val="22"/>
          <w:szCs w:val="22"/>
        </w:rPr>
        <w:t xml:space="preserve"> špatnou bilancí.</w:t>
      </w:r>
      <w:r w:rsidR="00E70960" w:rsidRPr="00E70960">
        <w:rPr>
          <w:rFonts w:asciiTheme="minorHAnsi" w:hAnsiTheme="minorHAnsi" w:cstheme="minorHAnsi"/>
          <w:b/>
          <w:bCs/>
          <w:sz w:val="22"/>
          <w:szCs w:val="22"/>
        </w:rPr>
        <w:t xml:space="preserve"> Oproti loňskému lednu výrazně</w:t>
      </w:r>
      <w:r w:rsidR="009530BB" w:rsidRPr="00E70960">
        <w:rPr>
          <w:rFonts w:asciiTheme="minorHAnsi" w:hAnsiTheme="minorHAnsi" w:cstheme="minorHAnsi"/>
          <w:b/>
          <w:bCs/>
          <w:sz w:val="22"/>
          <w:szCs w:val="22"/>
        </w:rPr>
        <w:t xml:space="preserve"> vzrostl počet usmrcených</w:t>
      </w:r>
      <w:r w:rsidR="00E70960" w:rsidRPr="00E70960">
        <w:rPr>
          <w:rFonts w:asciiTheme="minorHAnsi" w:hAnsiTheme="minorHAnsi" w:cstheme="minorHAnsi"/>
          <w:b/>
          <w:bCs/>
          <w:sz w:val="22"/>
          <w:szCs w:val="22"/>
        </w:rPr>
        <w:t xml:space="preserve"> chodců a</w:t>
      </w:r>
      <w:r w:rsidR="009530BB" w:rsidRPr="00E7096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E70960" w:rsidRPr="00E70960">
        <w:rPr>
          <w:rFonts w:asciiTheme="minorHAnsi" w:hAnsiTheme="minorHAnsi" w:cstheme="minorHAnsi"/>
          <w:b/>
          <w:bCs/>
          <w:sz w:val="22"/>
          <w:szCs w:val="22"/>
        </w:rPr>
        <w:t xml:space="preserve">rovněž </w:t>
      </w:r>
      <w:r w:rsidR="009530BB" w:rsidRPr="00E70960">
        <w:rPr>
          <w:rFonts w:asciiTheme="minorHAnsi" w:hAnsiTheme="minorHAnsi" w:cstheme="minorHAnsi"/>
          <w:b/>
          <w:bCs/>
          <w:sz w:val="22"/>
          <w:szCs w:val="22"/>
        </w:rPr>
        <w:t>seniorů nad 65 let</w:t>
      </w:r>
      <w:r w:rsidR="00E70960" w:rsidRPr="00E70960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FD480F">
        <w:rPr>
          <w:rFonts w:asciiTheme="minorHAnsi" w:hAnsiTheme="minorHAnsi" w:cstheme="minorHAnsi"/>
          <w:b/>
          <w:bCs/>
          <w:sz w:val="22"/>
          <w:szCs w:val="22"/>
        </w:rPr>
        <w:t xml:space="preserve"> Zabíjela především nepřiměřená rychlost, jako viníci se na nehodách výrazně podíleli mladí řidiči. </w:t>
      </w:r>
      <w:r w:rsidR="00E70960" w:rsidRPr="00E70960">
        <w:rPr>
          <w:rFonts w:asciiTheme="minorHAnsi" w:hAnsiTheme="minorHAnsi" w:cstheme="minorHAnsi"/>
          <w:b/>
          <w:bCs/>
          <w:sz w:val="22"/>
          <w:szCs w:val="22"/>
        </w:rPr>
        <w:t>Na silnicích už během prvního měsíce roku zemřelo</w:t>
      </w:r>
      <w:r w:rsidR="00FD480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E70960" w:rsidRPr="00E70960">
        <w:rPr>
          <w:rFonts w:asciiTheme="minorHAnsi" w:hAnsiTheme="minorHAnsi" w:cstheme="minorHAnsi"/>
          <w:b/>
          <w:bCs/>
          <w:sz w:val="22"/>
          <w:szCs w:val="22"/>
        </w:rPr>
        <w:t>34 lidí, 98 bylo</w:t>
      </w:r>
      <w:r w:rsidR="002564FF" w:rsidRPr="00E7096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E70960" w:rsidRPr="00E70960">
        <w:rPr>
          <w:rFonts w:asciiTheme="minorHAnsi" w:hAnsiTheme="minorHAnsi" w:cstheme="minorHAnsi"/>
          <w:b/>
          <w:bCs/>
          <w:sz w:val="22"/>
          <w:szCs w:val="22"/>
        </w:rPr>
        <w:t xml:space="preserve">těžce zraněno. </w:t>
      </w:r>
    </w:p>
    <w:p w14:paraId="05DF9F88" w14:textId="77777777" w:rsidR="00E70960" w:rsidRDefault="00E70960" w:rsidP="005F5D97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AD88E74" w14:textId="02AF3F20" w:rsidR="005171B0" w:rsidRDefault="00133E4D" w:rsidP="005F5D97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Negativní b</w:t>
      </w:r>
      <w:r w:rsidR="00FD480F">
        <w:rPr>
          <w:rFonts w:asciiTheme="minorHAnsi" w:hAnsiTheme="minorHAnsi" w:cstheme="minorHAnsi"/>
          <w:bCs/>
          <w:sz w:val="22"/>
          <w:szCs w:val="22"/>
        </w:rPr>
        <w:t>ilance</w:t>
      </w:r>
      <w:r>
        <w:rPr>
          <w:rFonts w:asciiTheme="minorHAnsi" w:hAnsiTheme="minorHAnsi" w:cstheme="minorHAnsi"/>
          <w:bCs/>
          <w:sz w:val="22"/>
          <w:szCs w:val="22"/>
        </w:rPr>
        <w:t xml:space="preserve"> lednových smrtelných nehod znamená, že se Česká republika výrazně vzdaluje cílům stanoveným vládní Národní strategií bezpečnosti silničního provozu. Letošní leden, </w:t>
      </w:r>
      <w:r w:rsidR="00235554">
        <w:rPr>
          <w:rFonts w:asciiTheme="minorHAnsi" w:hAnsiTheme="minorHAnsi" w:cstheme="minorHAnsi"/>
          <w:bCs/>
          <w:sz w:val="22"/>
          <w:szCs w:val="22"/>
        </w:rPr>
        <w:t xml:space="preserve">který </w:t>
      </w:r>
      <w:r w:rsidR="00FD480F">
        <w:rPr>
          <w:rFonts w:asciiTheme="minorHAnsi" w:hAnsiTheme="minorHAnsi" w:cstheme="minorHAnsi"/>
          <w:bCs/>
          <w:sz w:val="22"/>
          <w:szCs w:val="22"/>
        </w:rPr>
        <w:t xml:space="preserve">charakterizovaly nadprůměrné teploty, </w:t>
      </w:r>
      <w:r>
        <w:rPr>
          <w:rFonts w:asciiTheme="minorHAnsi" w:hAnsiTheme="minorHAnsi" w:cstheme="minorHAnsi"/>
          <w:bCs/>
          <w:sz w:val="22"/>
          <w:szCs w:val="22"/>
        </w:rPr>
        <w:t>navíc vykazuje i mezir</w:t>
      </w:r>
      <w:r w:rsidR="00235554">
        <w:rPr>
          <w:rFonts w:asciiTheme="minorHAnsi" w:hAnsiTheme="minorHAnsi" w:cstheme="minorHAnsi"/>
          <w:bCs/>
          <w:sz w:val="22"/>
          <w:szCs w:val="22"/>
        </w:rPr>
        <w:t xml:space="preserve">oční zhoršení oproti roku 2019. Loni v lednu bylo při dopravních nehodách usmrceno o </w:t>
      </w:r>
      <w:r w:rsidR="006D3575">
        <w:rPr>
          <w:rFonts w:asciiTheme="minorHAnsi" w:hAnsiTheme="minorHAnsi" w:cstheme="minorHAnsi"/>
          <w:bCs/>
          <w:sz w:val="22"/>
          <w:szCs w:val="22"/>
        </w:rPr>
        <w:t xml:space="preserve">9 lidí méně. </w:t>
      </w:r>
      <w:r w:rsidR="00235554">
        <w:rPr>
          <w:rFonts w:asciiTheme="minorHAnsi" w:hAnsiTheme="minorHAnsi" w:cstheme="minorHAnsi"/>
          <w:bCs/>
          <w:sz w:val="22"/>
          <w:szCs w:val="22"/>
        </w:rPr>
        <w:t>Pozitivní trend se naopak podařilo udržet ve snižování počtu těžkých zranění. Ve srovnání s lednem 2019 bylo těžce zraněno o 21 osob méně.</w:t>
      </w:r>
    </w:p>
    <w:p w14:paraId="19F61153" w14:textId="4AE72361" w:rsidR="00017BFE" w:rsidRDefault="00017BFE" w:rsidP="005F5D97">
      <w:pPr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</w:p>
    <w:p w14:paraId="57D9F32E" w14:textId="60791D88" w:rsidR="00017BFE" w:rsidRDefault="00017BFE" w:rsidP="00017BFE">
      <w:pPr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„Není možné tolerovat, že na silnicích zemře 34 lidí za měsíc a polovina z nich jsou oběti z řad chodců a dalších zranitelných účastníků. Pokud nechceme žít v prostředí, kde je chodec, často senior či mladistvý, ohrožený nezodpovědným chováním či zkraty řidičů, musíme ubrat na agresivitě řízení, soustředit se co nejvíce na jízdu a vnímat rizikové situace, jako například přechod na vícepruhové komunikaci,“ </w:t>
      </w:r>
      <w:r w:rsidR="00747854">
        <w:rPr>
          <w:rFonts w:asciiTheme="minorHAnsi" w:hAnsiTheme="minorHAnsi" w:cstheme="minorHAnsi"/>
          <w:bCs/>
          <w:sz w:val="22"/>
          <w:szCs w:val="22"/>
        </w:rPr>
        <w:t xml:space="preserve">říká </w:t>
      </w:r>
      <w:r w:rsidRPr="00545D22">
        <w:rPr>
          <w:rFonts w:asciiTheme="minorHAnsi" w:hAnsiTheme="minorHAnsi" w:cstheme="minorHAnsi"/>
          <w:bCs/>
          <w:sz w:val="22"/>
          <w:szCs w:val="22"/>
        </w:rPr>
        <w:t>Tomáš Neřold, vedoucí oddělení BESIP</w:t>
      </w:r>
      <w:r>
        <w:rPr>
          <w:rFonts w:asciiTheme="minorHAnsi" w:hAnsiTheme="minorHAnsi" w:cstheme="minorHAnsi"/>
          <w:bCs/>
          <w:sz w:val="22"/>
          <w:szCs w:val="22"/>
        </w:rPr>
        <w:t xml:space="preserve"> Ministerstva dopravy a dodává</w:t>
      </w:r>
      <w:r>
        <w:rPr>
          <w:rFonts w:asciiTheme="minorHAnsi" w:hAnsiTheme="minorHAnsi" w:cstheme="minorHAnsi"/>
          <w:bCs/>
          <w:i/>
          <w:iCs/>
          <w:sz w:val="22"/>
          <w:szCs w:val="22"/>
        </w:rPr>
        <w:t>:</w:t>
      </w:r>
    </w:p>
    <w:p w14:paraId="0FDD7A54" w14:textId="77777777" w:rsidR="00017BFE" w:rsidRDefault="00017BFE" w:rsidP="00017BFE">
      <w:pPr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</w:p>
    <w:p w14:paraId="1813941E" w14:textId="21A14936" w:rsidR="00017BFE" w:rsidRDefault="00017BFE" w:rsidP="00017BFE">
      <w:pPr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8E6547">
        <w:rPr>
          <w:rFonts w:asciiTheme="minorHAnsi" w:hAnsiTheme="minorHAnsi" w:cstheme="minorHAnsi"/>
          <w:bCs/>
          <w:sz w:val="22"/>
          <w:szCs w:val="22"/>
        </w:rPr>
        <w:t>„</w:t>
      </w:r>
      <w:r w:rsidRPr="003C7D3B">
        <w:rPr>
          <w:rFonts w:asciiTheme="minorHAnsi" w:hAnsiTheme="minorHAnsi" w:cstheme="minorHAnsi"/>
          <w:bCs/>
          <w:i/>
          <w:iCs/>
          <w:sz w:val="22"/>
          <w:szCs w:val="22"/>
        </w:rPr>
        <w:t>V</w:t>
      </w:r>
      <w:r w:rsidRPr="003C7D3B">
        <w:rPr>
          <w:rFonts w:asciiTheme="minorHAnsi" w:hAnsiTheme="minorHAnsi" w:cstheme="minorHAnsi"/>
          <w:i/>
          <w:iCs/>
          <w:sz w:val="22"/>
          <w:szCs w:val="22"/>
        </w:rPr>
        <w:t xml:space="preserve">ýznamně vzrostl počet usmrcených lidí starších 65 let. Zatímco v lednu 2019 zemřelo při dopravních nehodách 7 lidí v této věkové kategorii, v letošním roce máme bohužel už 14 obětí mezi seniory. </w:t>
      </w:r>
      <w:r w:rsidRPr="003C7D3B">
        <w:rPr>
          <w:rFonts w:asciiTheme="minorHAnsi" w:hAnsiTheme="minorHAnsi" w:cstheme="minorHAnsi"/>
          <w:bCs/>
          <w:i/>
          <w:sz w:val="22"/>
          <w:szCs w:val="22"/>
        </w:rPr>
        <w:t>Chodci a cyklisté se na všech usmrcených podíleli v polovině případů. V lednu bylo usmrceno 12 chodců a 5 cyklistů</w:t>
      </w:r>
      <w:r>
        <w:rPr>
          <w:rFonts w:asciiTheme="minorHAnsi" w:hAnsiTheme="minorHAnsi" w:cstheme="minorHAnsi"/>
          <w:bCs/>
          <w:i/>
          <w:sz w:val="22"/>
          <w:szCs w:val="22"/>
        </w:rPr>
        <w:t xml:space="preserve">. </w:t>
      </w:r>
      <w:r w:rsidRPr="00EC23A6">
        <w:rPr>
          <w:rFonts w:asciiTheme="minorHAnsi" w:hAnsiTheme="minorHAnsi" w:cstheme="minorHAnsi"/>
          <w:bCs/>
          <w:i/>
          <w:iCs/>
          <w:sz w:val="22"/>
          <w:szCs w:val="22"/>
        </w:rPr>
        <w:t>Na</w:t>
      </w:r>
      <w:r>
        <w:rPr>
          <w:rFonts w:asciiTheme="minorHAnsi" w:hAnsiTheme="minorHAnsi" w:cstheme="minorHAnsi"/>
          <w:bCs/>
          <w:i/>
          <w:iCs/>
          <w:sz w:val="22"/>
          <w:szCs w:val="22"/>
        </w:rPr>
        <w:t> </w:t>
      </w:r>
      <w:r w:rsidRPr="00EC23A6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nárůstu následků </w:t>
      </w:r>
      <w:r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nehod </w:t>
      </w:r>
      <w:r w:rsidRPr="00EC23A6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se významně podíleli </w:t>
      </w:r>
      <w:r w:rsidRPr="003C7D3B">
        <w:rPr>
          <w:rFonts w:asciiTheme="minorHAnsi" w:hAnsiTheme="minorHAnsi" w:cstheme="minorHAnsi"/>
          <w:i/>
          <w:iCs/>
          <w:sz w:val="22"/>
          <w:szCs w:val="22"/>
        </w:rPr>
        <w:t>mladí řidiči</w:t>
      </w:r>
      <w:r w:rsidRPr="003C7D3B">
        <w:rPr>
          <w:rFonts w:asciiTheme="minorHAnsi" w:hAnsiTheme="minorHAnsi" w:cstheme="minorHAnsi"/>
          <w:bCs/>
          <w:i/>
          <w:iCs/>
          <w:sz w:val="22"/>
          <w:szCs w:val="22"/>
        </w:rPr>
        <w:t>, kteří</w:t>
      </w:r>
      <w:r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zavinili usmrcení 10 lidí, dalších 24 lidí</w:t>
      </w:r>
      <w:r w:rsidRPr="00EC23A6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pak těžce zranili.</w:t>
      </w:r>
      <w:r>
        <w:rPr>
          <w:rFonts w:asciiTheme="minorHAnsi" w:hAnsiTheme="minorHAnsi" w:cstheme="minorHAnsi"/>
          <w:bCs/>
          <w:i/>
          <w:iCs/>
          <w:sz w:val="22"/>
          <w:szCs w:val="22"/>
        </w:rPr>
        <w:t>“</w:t>
      </w:r>
    </w:p>
    <w:p w14:paraId="6F9F52E0" w14:textId="20451EE0" w:rsidR="00F94FA3" w:rsidRDefault="00F94FA3" w:rsidP="005F5D97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F492C47" w14:textId="62AE42FC" w:rsidR="005171B0" w:rsidRPr="005D19CF" w:rsidRDefault="005171B0" w:rsidP="005171B0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i/>
          <w:iCs/>
          <w:sz w:val="22"/>
          <w:szCs w:val="22"/>
        </w:rPr>
        <w:t>„</w:t>
      </w:r>
      <w:r w:rsidR="003C7D3B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Klíčová je </w:t>
      </w:r>
      <w:r w:rsidRPr="005D19CF">
        <w:rPr>
          <w:rFonts w:asciiTheme="minorHAnsi" w:hAnsiTheme="minorHAnsi" w:cstheme="minorHAnsi"/>
          <w:bCs/>
          <w:i/>
          <w:iCs/>
          <w:sz w:val="22"/>
          <w:szCs w:val="22"/>
        </w:rPr>
        <w:t>nepřiměřená rychlost</w:t>
      </w:r>
      <w:r>
        <w:rPr>
          <w:rFonts w:asciiTheme="minorHAnsi" w:hAnsiTheme="minorHAnsi" w:cstheme="minorHAnsi"/>
          <w:bCs/>
          <w:i/>
          <w:iCs/>
          <w:sz w:val="22"/>
          <w:szCs w:val="22"/>
        </w:rPr>
        <w:t>, která je</w:t>
      </w:r>
      <w:r w:rsidRPr="005D19CF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dlouhodobý</w:t>
      </w:r>
      <w:r>
        <w:rPr>
          <w:rFonts w:asciiTheme="minorHAnsi" w:hAnsiTheme="minorHAnsi" w:cstheme="minorHAnsi"/>
          <w:bCs/>
          <w:i/>
          <w:iCs/>
          <w:sz w:val="22"/>
          <w:szCs w:val="22"/>
        </w:rPr>
        <w:t>m</w:t>
      </w:r>
      <w:r w:rsidRPr="005D19CF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problém</w:t>
      </w:r>
      <w:r>
        <w:rPr>
          <w:rFonts w:asciiTheme="minorHAnsi" w:hAnsiTheme="minorHAnsi" w:cstheme="minorHAnsi"/>
          <w:bCs/>
          <w:i/>
          <w:iCs/>
          <w:sz w:val="22"/>
          <w:szCs w:val="22"/>
        </w:rPr>
        <w:t>em. J</w:t>
      </w:r>
      <w:r w:rsidRPr="005D19CF">
        <w:rPr>
          <w:rFonts w:asciiTheme="minorHAnsi" w:hAnsiTheme="minorHAnsi" w:cstheme="minorHAnsi"/>
          <w:bCs/>
          <w:i/>
          <w:iCs/>
          <w:sz w:val="22"/>
          <w:szCs w:val="22"/>
        </w:rPr>
        <w:t>edná se o příčinu s nejvyšším podílem na závažných následcích dopravních nehod.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3C7D3B">
        <w:rPr>
          <w:rFonts w:asciiTheme="minorHAnsi" w:hAnsiTheme="minorHAnsi" w:cstheme="minorHAnsi"/>
          <w:bCs/>
          <w:i/>
          <w:sz w:val="22"/>
          <w:szCs w:val="22"/>
        </w:rPr>
        <w:t>Neméně důležité je však plně se věnovat řízení.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i/>
          <w:iCs/>
          <w:sz w:val="22"/>
          <w:szCs w:val="22"/>
        </w:rPr>
        <w:t>Každý řidič si musí uvědomit, že má odpovědnost nejen za sebe, ale také za spolujezdce a ostatní účastníky silničního provozu. Ten přesah je však daleko větší – odpovědnost je také za všechny příbuzné a blízké,</w:t>
      </w:r>
      <w:r w:rsidR="00CB6105">
        <w:rPr>
          <w:rFonts w:asciiTheme="minorHAnsi" w:hAnsiTheme="minorHAnsi" w:cstheme="minorHAnsi"/>
          <w:bCs/>
          <w:sz w:val="22"/>
          <w:szCs w:val="22"/>
        </w:rPr>
        <w:t>“ doplňuje</w:t>
      </w:r>
      <w:r w:rsidR="000C63E0">
        <w:rPr>
          <w:rFonts w:asciiTheme="minorHAnsi" w:hAnsiTheme="minorHAnsi" w:cstheme="minorHAnsi"/>
          <w:bCs/>
          <w:sz w:val="22"/>
          <w:szCs w:val="22"/>
        </w:rPr>
        <w:t xml:space="preserve"> Jindřich Frič,</w:t>
      </w:r>
      <w:r>
        <w:rPr>
          <w:rFonts w:asciiTheme="minorHAnsi" w:hAnsiTheme="minorHAnsi" w:cstheme="minorHAnsi"/>
          <w:bCs/>
          <w:sz w:val="22"/>
          <w:szCs w:val="22"/>
        </w:rPr>
        <w:t xml:space="preserve"> ředitel Centra dopravního výzkumu.</w:t>
      </w:r>
    </w:p>
    <w:p w14:paraId="1BBDBB4C" w14:textId="7634AEB5" w:rsidR="005171B0" w:rsidRDefault="005171B0" w:rsidP="005F5D97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1139A23" w14:textId="722639C6" w:rsidR="00323EFE" w:rsidRPr="00EC23A6" w:rsidRDefault="00EC23A6" w:rsidP="00EC23A6">
      <w:pPr>
        <w:pStyle w:val="Normlnweb"/>
        <w:shd w:val="clear" w:color="auto" w:fill="FFFFFF"/>
        <w:spacing w:before="0" w:beforeAutospacing="0" w:after="165" w:afterAutospacing="0"/>
        <w:jc w:val="both"/>
        <w:rPr>
          <w:rFonts w:asciiTheme="minorHAnsi" w:hAnsiTheme="minorHAnsi" w:cstheme="minorHAnsi"/>
          <w:color w:val="0070C0"/>
          <w:sz w:val="28"/>
          <w:szCs w:val="28"/>
        </w:rPr>
      </w:pPr>
      <w:r w:rsidRPr="00EC23A6">
        <w:rPr>
          <w:rFonts w:asciiTheme="minorHAnsi" w:hAnsiTheme="minorHAnsi" w:cstheme="minorHAnsi"/>
          <w:color w:val="0070C0"/>
          <w:sz w:val="28"/>
          <w:szCs w:val="28"/>
        </w:rPr>
        <w:t xml:space="preserve">Nejvíce </w:t>
      </w:r>
      <w:r>
        <w:rPr>
          <w:rFonts w:asciiTheme="minorHAnsi" w:hAnsiTheme="minorHAnsi" w:cstheme="minorHAnsi"/>
          <w:color w:val="0070C0"/>
          <w:sz w:val="28"/>
          <w:szCs w:val="28"/>
        </w:rPr>
        <w:t>usmrcených</w:t>
      </w:r>
      <w:r w:rsidRPr="00EC23A6">
        <w:rPr>
          <w:rFonts w:asciiTheme="minorHAnsi" w:hAnsiTheme="minorHAnsi" w:cstheme="minorHAnsi"/>
          <w:color w:val="0070C0"/>
          <w:sz w:val="28"/>
          <w:szCs w:val="28"/>
        </w:rPr>
        <w:t xml:space="preserve"> na Vysočině</w:t>
      </w:r>
      <w:r>
        <w:rPr>
          <w:rFonts w:asciiTheme="minorHAnsi" w:hAnsiTheme="minorHAnsi" w:cstheme="minorHAnsi"/>
          <w:color w:val="0070C0"/>
          <w:sz w:val="28"/>
          <w:szCs w:val="28"/>
        </w:rPr>
        <w:t>, těžce zraněných v Jihočeském kraji</w:t>
      </w:r>
    </w:p>
    <w:p w14:paraId="2D9FE28D" w14:textId="65D80934" w:rsidR="00323EFE" w:rsidRDefault="0039187A" w:rsidP="005F5D97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9187A">
        <w:rPr>
          <w:rFonts w:asciiTheme="minorHAnsi" w:hAnsiTheme="minorHAnsi" w:cstheme="minorHAnsi"/>
          <w:bCs/>
          <w:sz w:val="22"/>
          <w:szCs w:val="22"/>
        </w:rPr>
        <w:t>V roce 2020 bylo usmrceno nejvíce osob v Kraji Vysočina (7)</w:t>
      </w:r>
      <w:r w:rsidR="0058160F">
        <w:rPr>
          <w:rFonts w:asciiTheme="minorHAnsi" w:hAnsiTheme="minorHAnsi" w:cstheme="minorHAnsi"/>
          <w:bCs/>
          <w:sz w:val="22"/>
          <w:szCs w:val="22"/>
        </w:rPr>
        <w:t>. V</w:t>
      </w:r>
      <w:r w:rsidRPr="0039187A">
        <w:rPr>
          <w:rFonts w:asciiTheme="minorHAnsi" w:hAnsiTheme="minorHAnsi" w:cstheme="minorHAnsi"/>
          <w:bCs/>
          <w:sz w:val="22"/>
          <w:szCs w:val="22"/>
        </w:rPr>
        <w:t xml:space="preserve"> Libereckém a Karlovarském kraji nebyla usmrcena žádná osoba</w:t>
      </w:r>
      <w:r w:rsidR="0058160F">
        <w:rPr>
          <w:rFonts w:asciiTheme="minorHAnsi" w:hAnsiTheme="minorHAnsi" w:cstheme="minorHAnsi"/>
          <w:bCs/>
          <w:sz w:val="22"/>
          <w:szCs w:val="22"/>
        </w:rPr>
        <w:t>. N</w:t>
      </w:r>
      <w:r w:rsidRPr="0039187A">
        <w:rPr>
          <w:rFonts w:asciiTheme="minorHAnsi" w:hAnsiTheme="minorHAnsi" w:cstheme="minorHAnsi"/>
          <w:bCs/>
          <w:sz w:val="22"/>
          <w:szCs w:val="22"/>
        </w:rPr>
        <w:t>ejvíce těžce zraněných osob bylo evidováno v Jihočeském kraji (14), naopak nikdo nebyl těžce zraněn v Libereckém kraji.</w:t>
      </w:r>
    </w:p>
    <w:p w14:paraId="2D579D80" w14:textId="77777777" w:rsidR="009C0085" w:rsidRDefault="009C0085" w:rsidP="0039187A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7030EE8" w14:textId="29CCB565" w:rsidR="0039187A" w:rsidRPr="00F56954" w:rsidRDefault="0039187A" w:rsidP="0039187A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9187A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Při přepočtu usmrcených a těžce zraněných osob na 1 milion obyvatel v daných krajích lze konstatovat, že </w:t>
      </w:r>
      <w:r w:rsidRPr="0039187A">
        <w:rPr>
          <w:rFonts w:asciiTheme="minorHAnsi" w:hAnsiTheme="minorHAnsi" w:cstheme="minorHAnsi"/>
          <w:b/>
          <w:sz w:val="22"/>
          <w:szCs w:val="22"/>
        </w:rPr>
        <w:t>nejvíce usmrcených na 1 milion obyvatel bylo evidováno v Kraji Vysočina (14)</w:t>
      </w:r>
      <w:r w:rsidRPr="0039187A">
        <w:rPr>
          <w:rFonts w:asciiTheme="minorHAnsi" w:hAnsiTheme="minorHAnsi" w:cstheme="minorHAnsi"/>
          <w:bCs/>
          <w:sz w:val="22"/>
          <w:szCs w:val="22"/>
        </w:rPr>
        <w:t>, naopak nejméně v</w:t>
      </w:r>
      <w:r w:rsidR="00B022A0">
        <w:rPr>
          <w:rFonts w:asciiTheme="minorHAnsi" w:hAnsiTheme="minorHAnsi" w:cstheme="minorHAnsi"/>
          <w:bCs/>
          <w:sz w:val="22"/>
          <w:szCs w:val="22"/>
        </w:rPr>
        <w:t> </w:t>
      </w:r>
      <w:r w:rsidRPr="0039187A">
        <w:rPr>
          <w:rFonts w:asciiTheme="minorHAnsi" w:hAnsiTheme="minorHAnsi" w:cstheme="minorHAnsi"/>
          <w:bCs/>
          <w:sz w:val="22"/>
          <w:szCs w:val="22"/>
        </w:rPr>
        <w:t>Libereckém a Karlovarském kraji (0). V České republice byly v roce 2020 usmrceny 3 osoby na 1 milion obyvatel.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39187A">
        <w:rPr>
          <w:rFonts w:asciiTheme="minorHAnsi" w:hAnsiTheme="minorHAnsi" w:cstheme="minorHAnsi"/>
          <w:b/>
          <w:sz w:val="22"/>
          <w:szCs w:val="22"/>
        </w:rPr>
        <w:t>Nejvíce těžce zraněných osob na 1 milion obyvatel bylo evidováno v Jihočeském kraji (22)</w:t>
      </w:r>
      <w:r w:rsidR="00E70003">
        <w:rPr>
          <w:rFonts w:asciiTheme="minorHAnsi" w:hAnsiTheme="minorHAnsi" w:cstheme="minorHAnsi"/>
          <w:bCs/>
          <w:sz w:val="22"/>
          <w:szCs w:val="22"/>
        </w:rPr>
        <w:t xml:space="preserve"> a </w:t>
      </w:r>
      <w:r w:rsidRPr="0039187A">
        <w:rPr>
          <w:rFonts w:asciiTheme="minorHAnsi" w:hAnsiTheme="minorHAnsi" w:cstheme="minorHAnsi"/>
          <w:bCs/>
          <w:sz w:val="22"/>
          <w:szCs w:val="22"/>
        </w:rPr>
        <w:t>naopak nejméně v Libereckém kraji (0). V České republice bylo v roce 2020 těžce zraněno 9 osob na 1 milion obyvatel.</w:t>
      </w:r>
      <w:r w:rsidR="00F56954">
        <w:rPr>
          <w:rFonts w:asciiTheme="minorHAnsi" w:hAnsiTheme="minorHAnsi" w:cstheme="minorHAnsi"/>
          <w:bCs/>
          <w:sz w:val="22"/>
          <w:szCs w:val="22"/>
        </w:rPr>
        <w:t xml:space="preserve"> Detaily k nehodám s usmrcenými a těžce zraněnými osobami, ke kterým došlo v lednu </w:t>
      </w:r>
      <w:r w:rsidR="00F56954" w:rsidRPr="00F56954">
        <w:rPr>
          <w:rFonts w:asciiTheme="minorHAnsi" w:hAnsiTheme="minorHAnsi" w:cstheme="minorHAnsi"/>
          <w:bCs/>
          <w:sz w:val="22"/>
          <w:szCs w:val="22"/>
        </w:rPr>
        <w:t>2020 jsou k</w:t>
      </w:r>
      <w:r w:rsidR="00F56954">
        <w:rPr>
          <w:rFonts w:asciiTheme="minorHAnsi" w:hAnsiTheme="minorHAnsi" w:cstheme="minorHAnsi"/>
          <w:bCs/>
          <w:sz w:val="22"/>
          <w:szCs w:val="22"/>
        </w:rPr>
        <w:t> </w:t>
      </w:r>
      <w:r w:rsidR="00F56954" w:rsidRPr="00F56954">
        <w:rPr>
          <w:rFonts w:asciiTheme="minorHAnsi" w:hAnsiTheme="minorHAnsi" w:cstheme="minorHAnsi"/>
          <w:bCs/>
          <w:sz w:val="22"/>
          <w:szCs w:val="22"/>
        </w:rPr>
        <w:t>dispozici</w:t>
      </w:r>
      <w:r w:rsidR="00F56954">
        <w:rPr>
          <w:rFonts w:asciiTheme="minorHAnsi" w:hAnsiTheme="minorHAnsi" w:cstheme="minorHAnsi"/>
          <w:bCs/>
          <w:sz w:val="22"/>
          <w:szCs w:val="22"/>
        </w:rPr>
        <w:t xml:space="preserve"> v aplikace DOPRAVNÍ NEHODY V ČR</w:t>
      </w:r>
      <w:r w:rsidR="00F56954" w:rsidRPr="00F56954">
        <w:rPr>
          <w:rFonts w:asciiTheme="minorHAnsi" w:hAnsiTheme="minorHAnsi" w:cstheme="minorHAnsi"/>
          <w:bCs/>
          <w:sz w:val="22"/>
          <w:szCs w:val="22"/>
        </w:rPr>
        <w:t xml:space="preserve"> </w:t>
      </w:r>
      <w:hyperlink r:id="rId8" w:history="1">
        <w:r w:rsidR="00F56954" w:rsidRPr="00F56954">
          <w:rPr>
            <w:rStyle w:val="Hypertextovodkaz"/>
            <w:rFonts w:asciiTheme="minorHAnsi" w:hAnsiTheme="minorHAnsi" w:cstheme="minorHAnsi"/>
            <w:bCs/>
            <w:color w:val="auto"/>
            <w:sz w:val="22"/>
            <w:szCs w:val="22"/>
          </w:rPr>
          <w:t>zde</w:t>
        </w:r>
      </w:hyperlink>
      <w:r w:rsidR="00F56954" w:rsidRPr="00F56954">
        <w:rPr>
          <w:rFonts w:asciiTheme="minorHAnsi" w:hAnsiTheme="minorHAnsi" w:cstheme="minorHAnsi"/>
          <w:bCs/>
          <w:sz w:val="22"/>
          <w:szCs w:val="22"/>
        </w:rPr>
        <w:t>.</w:t>
      </w:r>
    </w:p>
    <w:p w14:paraId="7CBF28EB" w14:textId="77777777" w:rsidR="00F56954" w:rsidRDefault="00F56954" w:rsidP="0039187A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BA17D44" w14:textId="2DFDF5AF" w:rsidR="00323EFE" w:rsidRDefault="00323EFE" w:rsidP="005F5D97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noProof/>
        </w:rPr>
        <w:drawing>
          <wp:inline distT="0" distB="0" distL="0" distR="0" wp14:anchorId="7E6C29BD" wp14:editId="168A207D">
            <wp:extent cx="2880000" cy="1925208"/>
            <wp:effectExtent l="0" t="0" r="0" b="0"/>
            <wp:docPr id="41" name="Obrázek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1925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2C6FA6B" wp14:editId="2681850F">
            <wp:extent cx="2880000" cy="1903729"/>
            <wp:effectExtent l="0" t="0" r="0" b="1905"/>
            <wp:docPr id="42" name="Obrázek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1903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998D68" w14:textId="2AD2D02F" w:rsidR="00323EFE" w:rsidRDefault="00323EFE" w:rsidP="005F5D97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4896939" w14:textId="764B7C80" w:rsidR="00323EFE" w:rsidRPr="0039187A" w:rsidRDefault="0039187A" w:rsidP="0039187A">
      <w:pPr>
        <w:pStyle w:val="Normlnweb"/>
        <w:shd w:val="clear" w:color="auto" w:fill="FFFFFF"/>
        <w:spacing w:before="0" w:beforeAutospacing="0" w:after="165" w:afterAutospacing="0"/>
        <w:jc w:val="both"/>
        <w:rPr>
          <w:rFonts w:asciiTheme="minorHAnsi" w:hAnsiTheme="minorHAnsi" w:cstheme="minorHAnsi"/>
          <w:color w:val="0070C0"/>
          <w:sz w:val="28"/>
          <w:szCs w:val="28"/>
        </w:rPr>
      </w:pPr>
      <w:r w:rsidRPr="0039187A">
        <w:rPr>
          <w:rFonts w:asciiTheme="minorHAnsi" w:hAnsiTheme="minorHAnsi" w:cstheme="minorHAnsi"/>
          <w:color w:val="0070C0"/>
          <w:sz w:val="28"/>
          <w:szCs w:val="28"/>
        </w:rPr>
        <w:t>Rok 2020: Maximálně 333 usmrcených na silnicích v ČR</w:t>
      </w:r>
    </w:p>
    <w:p w14:paraId="7CF9FFE6" w14:textId="5DF3EB63" w:rsidR="0039187A" w:rsidRDefault="0039187A" w:rsidP="005F5D97">
      <w:pPr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5D19CF">
        <w:rPr>
          <w:rFonts w:asciiTheme="minorHAnsi" w:hAnsiTheme="minorHAnsi" w:cstheme="minorHAnsi"/>
          <w:b/>
          <w:sz w:val="22"/>
          <w:szCs w:val="22"/>
        </w:rPr>
        <w:t xml:space="preserve">Aby byly splněny předpoklady Národní strategie bezpečnosti silničního provozu 2011-2020, nesmí být v letošním roce usmrceno více než 333 a těžce zraněno 2 122 osob. </w:t>
      </w:r>
      <w:r>
        <w:rPr>
          <w:rFonts w:asciiTheme="minorHAnsi" w:hAnsiTheme="minorHAnsi" w:cstheme="minorHAnsi"/>
          <w:bCs/>
          <w:sz w:val="22"/>
          <w:szCs w:val="22"/>
        </w:rPr>
        <w:t>„</w:t>
      </w:r>
      <w:r w:rsidRPr="005D19CF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V oblasti usmrcených osob byl </w:t>
      </w:r>
      <w:r w:rsidR="005D19CF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v uplynulých letech </w:t>
      </w:r>
      <w:r w:rsidRPr="005D19CF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počet přibližně o pětinu nad stanovenými </w:t>
      </w:r>
      <w:r w:rsidR="00D062F3" w:rsidRPr="005D19CF">
        <w:rPr>
          <w:rFonts w:asciiTheme="minorHAnsi" w:hAnsiTheme="minorHAnsi" w:cstheme="minorHAnsi"/>
          <w:bCs/>
          <w:i/>
          <w:iCs/>
          <w:sz w:val="22"/>
          <w:szCs w:val="22"/>
        </w:rPr>
        <w:t>předpoklady</w:t>
      </w:r>
      <w:r w:rsidR="00D062F3">
        <w:rPr>
          <w:rFonts w:asciiTheme="minorHAnsi" w:hAnsiTheme="minorHAnsi" w:cstheme="minorHAnsi"/>
          <w:bCs/>
          <w:i/>
          <w:iCs/>
          <w:sz w:val="22"/>
          <w:szCs w:val="22"/>
        </w:rPr>
        <w:t>, Aby</w:t>
      </w:r>
      <w:r w:rsidRPr="005D19CF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byla NSBSP v roce 2020 splněna, musí oproti předchozímu roku poklesnou</w:t>
      </w:r>
      <w:r w:rsidR="005D19CF" w:rsidRPr="005D19CF">
        <w:rPr>
          <w:rFonts w:asciiTheme="minorHAnsi" w:hAnsiTheme="minorHAnsi" w:cstheme="minorHAnsi"/>
          <w:bCs/>
          <w:i/>
          <w:iCs/>
          <w:sz w:val="22"/>
          <w:szCs w:val="22"/>
        </w:rPr>
        <w:t>t</w:t>
      </w:r>
      <w:r w:rsidR="00963193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počet obětí</w:t>
      </w:r>
      <w:r w:rsidRPr="005D19CF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o 214, tj. -39 %. </w:t>
      </w:r>
    </w:p>
    <w:p w14:paraId="6ED8F401" w14:textId="63209269" w:rsidR="005171B0" w:rsidRDefault="00D062F3" w:rsidP="005F5D97">
      <w:pPr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>
        <w:rPr>
          <w:rFonts w:cs="Arial"/>
          <w:noProof/>
        </w:rPr>
        <w:drawing>
          <wp:anchor distT="0" distB="0" distL="114300" distR="114300" simplePos="0" relativeHeight="251676672" behindDoc="1" locked="0" layoutInCell="1" allowOverlap="1" wp14:anchorId="357D6CF7" wp14:editId="29039B1D">
            <wp:simplePos x="0" y="0"/>
            <wp:positionH relativeFrom="margin">
              <wp:align>center</wp:align>
            </wp:positionH>
            <wp:positionV relativeFrom="paragraph">
              <wp:posOffset>144780</wp:posOffset>
            </wp:positionV>
            <wp:extent cx="3768090" cy="2437130"/>
            <wp:effectExtent l="0" t="0" r="3810" b="1270"/>
            <wp:wrapTight wrapText="bothSides">
              <wp:wrapPolygon edited="0">
                <wp:start x="0" y="0"/>
                <wp:lineTo x="0" y="21442"/>
                <wp:lineTo x="21513" y="21442"/>
                <wp:lineTo x="21513" y="0"/>
                <wp:lineTo x="0" y="0"/>
              </wp:wrapPolygon>
            </wp:wrapTight>
            <wp:docPr id="35" name="Obrázek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8090" cy="2437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7961E2" w14:textId="40485F04" w:rsidR="0039187A" w:rsidRDefault="0039187A" w:rsidP="005F5D97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3CB3281" w14:textId="0F419C94" w:rsidR="0039187A" w:rsidRDefault="0039187A" w:rsidP="005F5D97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6644138" w14:textId="330D5FFE" w:rsidR="003F1D48" w:rsidRDefault="003F1D48" w:rsidP="0093701C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3285DFB" w14:textId="5EAA1D54" w:rsidR="005171B0" w:rsidRDefault="005171B0" w:rsidP="0093701C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F3413BB" w14:textId="4BE5BC35" w:rsidR="005171B0" w:rsidRDefault="005171B0" w:rsidP="0093701C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7721DD6" w14:textId="7FEF79BF" w:rsidR="005171B0" w:rsidRDefault="005171B0" w:rsidP="0093701C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11EA0E1" w14:textId="2F0EA165" w:rsidR="005171B0" w:rsidRDefault="005171B0" w:rsidP="0093701C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GoBack"/>
    </w:p>
    <w:bookmarkEnd w:id="0"/>
    <w:p w14:paraId="5F52685F" w14:textId="777AE5B1" w:rsidR="005171B0" w:rsidRDefault="005171B0" w:rsidP="0093701C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0CAA7B2" w14:textId="0835AA3E" w:rsidR="005171B0" w:rsidRDefault="005171B0" w:rsidP="0093701C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DD0D32F" w14:textId="77777777" w:rsidR="005171B0" w:rsidRDefault="005171B0" w:rsidP="0093701C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8AE973A" w14:textId="0CEC7E57" w:rsidR="005171B0" w:rsidRDefault="005171B0" w:rsidP="0093701C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7B78327" w14:textId="062F6E2D" w:rsidR="005171B0" w:rsidRDefault="005171B0" w:rsidP="0093701C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4A26340" w14:textId="44C68337" w:rsidR="005171B0" w:rsidRDefault="005171B0" w:rsidP="0093701C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EA49D37" w14:textId="5C2FFE5A" w:rsidR="005171B0" w:rsidRDefault="005171B0" w:rsidP="0093701C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83DA574" w14:textId="3001160E" w:rsidR="005171B0" w:rsidRDefault="005171B0" w:rsidP="0093701C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AD94478" w14:textId="2EAB5E68" w:rsidR="008927A3" w:rsidRDefault="00963193" w:rsidP="0093701C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63193">
        <w:rPr>
          <w:rFonts w:asciiTheme="minorHAnsi" w:hAnsiTheme="minorHAnsi" w:cstheme="minorHAnsi"/>
          <w:bCs/>
          <w:sz w:val="22"/>
          <w:szCs w:val="22"/>
        </w:rPr>
        <w:t>Podrobnou analýzu dopravní nehodovosti a plnění Národní strategie bezpečnosti silničního provozu za leden 2020 naleznete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hyperlink r:id="rId12" w:history="1">
        <w:r w:rsidRPr="00963193">
          <w:rPr>
            <w:rStyle w:val="Hypertextovodkaz"/>
            <w:rFonts w:asciiTheme="minorHAnsi" w:hAnsiTheme="minorHAnsi" w:cstheme="minorHAnsi"/>
            <w:b/>
            <w:bCs/>
            <w:sz w:val="22"/>
            <w:szCs w:val="22"/>
          </w:rPr>
          <w:t>zde</w:t>
        </w:r>
      </w:hyperlink>
      <w:r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54A72A5A" w14:textId="2C10B336" w:rsidR="00963193" w:rsidRDefault="00963193" w:rsidP="0093701C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7B7E367" w14:textId="0BFF0B10" w:rsidR="00963193" w:rsidRDefault="00963193" w:rsidP="0093701C">
      <w:pPr>
        <w:jc w:val="both"/>
        <w:rPr>
          <w:rFonts w:asciiTheme="minorHAnsi" w:hAnsiTheme="minorHAnsi" w:cstheme="minorHAnsi"/>
          <w:sz w:val="22"/>
          <w:szCs w:val="22"/>
        </w:rPr>
      </w:pPr>
      <w:r w:rsidRPr="00963193">
        <w:rPr>
          <w:rFonts w:asciiTheme="minorHAnsi" w:hAnsiTheme="minorHAnsi" w:cstheme="minorHAnsi"/>
          <w:bCs/>
          <w:sz w:val="22"/>
          <w:szCs w:val="22"/>
        </w:rPr>
        <w:t>Informace z</w:t>
      </w:r>
      <w:r w:rsidRPr="0096319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963193">
        <w:rPr>
          <w:rFonts w:asciiTheme="minorHAnsi" w:hAnsiTheme="minorHAnsi" w:cstheme="minorHAnsi"/>
          <w:sz w:val="22"/>
          <w:szCs w:val="22"/>
        </w:rPr>
        <w:t xml:space="preserve">Hloubkové analýzy dopravních nehod naleznete </w:t>
      </w:r>
      <w:hyperlink r:id="rId13" w:history="1">
        <w:r w:rsidRPr="00963193">
          <w:rPr>
            <w:rStyle w:val="Hypertextovodkaz"/>
            <w:rFonts w:asciiTheme="minorHAnsi" w:hAnsiTheme="minorHAnsi" w:cstheme="minorHAnsi"/>
            <w:sz w:val="22"/>
            <w:szCs w:val="22"/>
          </w:rPr>
          <w:t>zde</w:t>
        </w:r>
      </w:hyperlink>
      <w:r w:rsidRPr="00963193">
        <w:rPr>
          <w:rFonts w:asciiTheme="minorHAnsi" w:hAnsiTheme="minorHAnsi" w:cstheme="minorHAnsi"/>
          <w:sz w:val="22"/>
          <w:szCs w:val="22"/>
        </w:rPr>
        <w:t>.</w:t>
      </w:r>
    </w:p>
    <w:p w14:paraId="5A86C669" w14:textId="05CC2372" w:rsidR="00963193" w:rsidRPr="00963193" w:rsidRDefault="00963193" w:rsidP="0093701C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7A9BA0F" w14:textId="77777777" w:rsidR="0093701C" w:rsidRPr="0073672D" w:rsidRDefault="0093701C" w:rsidP="0093701C">
      <w:pPr>
        <w:rPr>
          <w:rFonts w:asciiTheme="minorHAnsi" w:hAnsiTheme="minorHAnsi" w:cstheme="minorHAnsi"/>
          <w:b/>
          <w:sz w:val="22"/>
          <w:szCs w:val="22"/>
        </w:rPr>
      </w:pPr>
      <w:r w:rsidRPr="0073672D">
        <w:rPr>
          <w:rFonts w:asciiTheme="minorHAnsi" w:hAnsiTheme="minorHAnsi" w:cstheme="minorHAnsi"/>
          <w:b/>
          <w:sz w:val="22"/>
          <w:szCs w:val="22"/>
        </w:rPr>
        <w:t xml:space="preserve">Mgr. Tomáš Neřold </w:t>
      </w:r>
      <w:proofErr w:type="gramStart"/>
      <w:r w:rsidRPr="0073672D">
        <w:rPr>
          <w:rFonts w:asciiTheme="minorHAnsi" w:hAnsiTheme="minorHAnsi" w:cstheme="minorHAnsi"/>
          <w:b/>
          <w:sz w:val="22"/>
          <w:szCs w:val="22"/>
        </w:rPr>
        <w:t>M.A.</w:t>
      </w:r>
      <w:proofErr w:type="gramEnd"/>
    </w:p>
    <w:p w14:paraId="15537C89" w14:textId="77777777" w:rsidR="0093701C" w:rsidRPr="0073672D" w:rsidRDefault="0093701C" w:rsidP="0093701C">
      <w:pPr>
        <w:rPr>
          <w:rFonts w:asciiTheme="minorHAnsi" w:hAnsiTheme="minorHAnsi" w:cstheme="minorHAnsi"/>
          <w:sz w:val="22"/>
          <w:szCs w:val="22"/>
        </w:rPr>
      </w:pPr>
      <w:r w:rsidRPr="0073672D">
        <w:rPr>
          <w:rFonts w:asciiTheme="minorHAnsi" w:hAnsiTheme="minorHAnsi" w:cstheme="minorHAnsi"/>
          <w:sz w:val="22"/>
          <w:szCs w:val="22"/>
        </w:rPr>
        <w:t>Vedoucí Samostatného oddělení BESIP Ministerstva dopravy</w:t>
      </w:r>
    </w:p>
    <w:p w14:paraId="298AA525" w14:textId="6F988C87" w:rsidR="00BD0434" w:rsidRPr="00D062F3" w:rsidRDefault="0093701C" w:rsidP="00B022A0">
      <w:pPr>
        <w:rPr>
          <w:rStyle w:val="Hypertextovodkaz"/>
          <w:rFonts w:asciiTheme="minorHAnsi" w:hAnsiTheme="minorHAnsi" w:cstheme="minorHAnsi"/>
          <w:color w:val="auto"/>
          <w:sz w:val="22"/>
          <w:szCs w:val="22"/>
        </w:rPr>
      </w:pPr>
      <w:r w:rsidRPr="0073672D">
        <w:rPr>
          <w:rFonts w:asciiTheme="minorHAnsi" w:hAnsiTheme="minorHAnsi" w:cstheme="minorHAnsi"/>
          <w:sz w:val="22"/>
          <w:szCs w:val="22"/>
        </w:rPr>
        <w:t>+420 602 632</w:t>
      </w:r>
      <w:r w:rsidR="00D062F3">
        <w:rPr>
          <w:rFonts w:asciiTheme="minorHAnsi" w:hAnsiTheme="minorHAnsi" w:cstheme="minorHAnsi"/>
          <w:sz w:val="22"/>
          <w:szCs w:val="22"/>
        </w:rPr>
        <w:t> </w:t>
      </w:r>
      <w:r w:rsidRPr="0073672D">
        <w:rPr>
          <w:rFonts w:asciiTheme="minorHAnsi" w:hAnsiTheme="minorHAnsi" w:cstheme="minorHAnsi"/>
          <w:sz w:val="22"/>
          <w:szCs w:val="22"/>
        </w:rPr>
        <w:t>176</w:t>
      </w:r>
      <w:r w:rsidR="00D062F3">
        <w:rPr>
          <w:rFonts w:asciiTheme="minorHAnsi" w:hAnsiTheme="minorHAnsi" w:cstheme="minorHAnsi"/>
          <w:sz w:val="22"/>
          <w:szCs w:val="22"/>
        </w:rPr>
        <w:t xml:space="preserve">, </w:t>
      </w:r>
      <w:hyperlink r:id="rId14" w:history="1">
        <w:r w:rsidRPr="0073672D">
          <w:rPr>
            <w:rStyle w:val="Hypertextovodkaz"/>
            <w:rFonts w:asciiTheme="minorHAnsi" w:hAnsiTheme="minorHAnsi" w:cstheme="minorHAnsi"/>
            <w:color w:val="auto"/>
            <w:sz w:val="22"/>
            <w:szCs w:val="22"/>
          </w:rPr>
          <w:t>tomas.nerold@mdcr.cz</w:t>
        </w:r>
      </w:hyperlink>
    </w:p>
    <w:sectPr w:rsidR="00BD0434" w:rsidRPr="00D062F3" w:rsidSect="00D062F3">
      <w:headerReference w:type="default" r:id="rId15"/>
      <w:footerReference w:type="default" r:id="rId16"/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2C00C7" w14:textId="77777777" w:rsidR="00230DD2" w:rsidRDefault="00230DD2" w:rsidP="0093701C">
      <w:r>
        <w:separator/>
      </w:r>
    </w:p>
  </w:endnote>
  <w:endnote w:type="continuationSeparator" w:id="0">
    <w:p w14:paraId="40033B6F" w14:textId="77777777" w:rsidR="00230DD2" w:rsidRDefault="00230DD2" w:rsidP="00937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9787E2" w14:textId="77777777" w:rsidR="00DA3950" w:rsidRDefault="00DA3950" w:rsidP="0073672D">
    <w:pPr>
      <w:pStyle w:val="Zhlav"/>
      <w:rPr>
        <w:rFonts w:asciiTheme="minorHAnsi" w:hAnsiTheme="minorHAnsi" w:cstheme="minorHAnsi"/>
        <w:color w:val="FF0066"/>
      </w:rPr>
    </w:pPr>
  </w:p>
  <w:p w14:paraId="5860BB6F" w14:textId="7F938AB5" w:rsidR="0073672D" w:rsidRPr="00753260" w:rsidRDefault="0073672D" w:rsidP="0073672D">
    <w:pPr>
      <w:pStyle w:val="Zhlav"/>
      <w:rPr>
        <w:rFonts w:asciiTheme="minorHAnsi" w:hAnsiTheme="minorHAnsi" w:cstheme="minorHAnsi"/>
        <w:color w:val="FF0066"/>
      </w:rPr>
    </w:pPr>
    <w:r w:rsidRPr="00753260">
      <w:rPr>
        <w:rFonts w:asciiTheme="minorHAnsi" w:hAnsiTheme="minorHAnsi" w:cstheme="minorHAnsi"/>
        <w:color w:val="FF0066"/>
      </w:rPr>
      <w:t>BEZPEČNOST NA SILNICÍCH</w:t>
    </w:r>
    <w:r w:rsidR="001A13FB">
      <w:rPr>
        <w:rFonts w:asciiTheme="minorHAnsi" w:hAnsiTheme="minorHAnsi" w:cstheme="minorHAnsi"/>
        <w:color w:val="FF0066"/>
      </w:rPr>
      <w:t xml:space="preserve"> – </w:t>
    </w:r>
    <w:r w:rsidRPr="00753260">
      <w:rPr>
        <w:rFonts w:asciiTheme="minorHAnsi" w:hAnsiTheme="minorHAnsi" w:cstheme="minorHAnsi"/>
        <w:color w:val="FF0066"/>
      </w:rPr>
      <w:t>PRÁVO A ZODPOVĚDNOST KAŽDÉHO Z NÁS!</w:t>
    </w:r>
  </w:p>
  <w:p w14:paraId="12036C11" w14:textId="77777777" w:rsidR="0093701C" w:rsidRPr="0073672D" w:rsidRDefault="0093701C" w:rsidP="0093701C">
    <w:pPr>
      <w:pStyle w:val="Zpat"/>
      <w:rPr>
        <w:rFonts w:ascii="Calibri" w:hAnsi="Calibri" w:cs="Calibri"/>
        <w:sz w:val="16"/>
        <w:szCs w:val="16"/>
      </w:rPr>
    </w:pPr>
    <w:r w:rsidRPr="0073672D">
      <w:rPr>
        <w:rFonts w:ascii="Calibri" w:hAnsi="Calibri" w:cs="Calibri"/>
        <w:sz w:val="16"/>
        <w:szCs w:val="16"/>
      </w:rPr>
      <w:t>Ministerstvo dopravy</w:t>
    </w:r>
  </w:p>
  <w:p w14:paraId="28557A61" w14:textId="77777777" w:rsidR="0093701C" w:rsidRPr="0073672D" w:rsidRDefault="0093701C" w:rsidP="0093701C">
    <w:pPr>
      <w:pStyle w:val="Zpat"/>
      <w:rPr>
        <w:rFonts w:ascii="Calibri" w:hAnsi="Calibri" w:cs="Calibri"/>
        <w:sz w:val="16"/>
        <w:szCs w:val="16"/>
      </w:rPr>
    </w:pPr>
    <w:r w:rsidRPr="0073672D">
      <w:rPr>
        <w:rFonts w:ascii="Calibri" w:hAnsi="Calibri" w:cs="Calibri"/>
        <w:sz w:val="16"/>
        <w:szCs w:val="16"/>
      </w:rPr>
      <w:t>Samostatné oddělení BESIP</w:t>
    </w:r>
  </w:p>
  <w:p w14:paraId="7244A989" w14:textId="77777777" w:rsidR="0093701C" w:rsidRPr="0073672D" w:rsidRDefault="0093701C" w:rsidP="0093701C">
    <w:pPr>
      <w:pStyle w:val="Zpat"/>
      <w:rPr>
        <w:rFonts w:ascii="Calibri" w:hAnsi="Calibri" w:cs="Calibri"/>
        <w:sz w:val="16"/>
        <w:szCs w:val="16"/>
      </w:rPr>
    </w:pPr>
    <w:r w:rsidRPr="0073672D">
      <w:rPr>
        <w:rFonts w:ascii="Calibri" w:hAnsi="Calibri" w:cs="Calibri"/>
        <w:sz w:val="16"/>
        <w:szCs w:val="16"/>
      </w:rPr>
      <w:t>nábřeží Ludvíka Svobody 1222/12, 110 15 Praha 1</w:t>
    </w:r>
  </w:p>
  <w:p w14:paraId="4F28E5DA" w14:textId="77777777" w:rsidR="0093701C" w:rsidRPr="0073672D" w:rsidRDefault="0093701C" w:rsidP="0093701C">
    <w:pPr>
      <w:pStyle w:val="Zpat"/>
      <w:rPr>
        <w:rFonts w:ascii="Calibri" w:hAnsi="Calibri" w:cs="Calibri"/>
        <w:sz w:val="16"/>
        <w:szCs w:val="16"/>
      </w:rPr>
    </w:pPr>
    <w:r w:rsidRPr="0073672D">
      <w:rPr>
        <w:rFonts w:ascii="Calibri" w:hAnsi="Calibri" w:cs="Calibri"/>
        <w:sz w:val="16"/>
        <w:szCs w:val="16"/>
      </w:rPr>
      <w:t>+420 225 131 070, posta@mdcr.cz, www.ibesip.cz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3FFEBC" w14:textId="77777777" w:rsidR="00230DD2" w:rsidRDefault="00230DD2" w:rsidP="0093701C">
      <w:r>
        <w:separator/>
      </w:r>
    </w:p>
  </w:footnote>
  <w:footnote w:type="continuationSeparator" w:id="0">
    <w:p w14:paraId="0B502B07" w14:textId="77777777" w:rsidR="00230DD2" w:rsidRDefault="00230DD2" w:rsidP="009370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A51DB8" w14:textId="77777777" w:rsidR="0093701C" w:rsidRPr="00FB449F" w:rsidRDefault="0093701C" w:rsidP="0093701C">
    <w:pPr>
      <w:pStyle w:val="Zhlav"/>
      <w:jc w:val="right"/>
      <w:rPr>
        <w:rFonts w:asciiTheme="minorHAnsi" w:hAnsiTheme="minorHAnsi" w:cstheme="minorHAnsi"/>
        <w:color w:val="FF0066"/>
        <w:sz w:val="28"/>
        <w:szCs w:val="28"/>
      </w:rPr>
    </w:pPr>
    <w:r w:rsidRPr="00FB449F">
      <w:rPr>
        <w:rFonts w:asciiTheme="minorHAnsi" w:hAnsiTheme="minorHAnsi" w:cstheme="minorHAnsi"/>
        <w:noProof/>
        <w:color w:val="FF0066"/>
        <w:sz w:val="28"/>
        <w:szCs w:val="28"/>
      </w:rPr>
      <w:drawing>
        <wp:anchor distT="0" distB="0" distL="114300" distR="114300" simplePos="0" relativeHeight="251659264" behindDoc="0" locked="0" layoutInCell="1" allowOverlap="1" wp14:anchorId="1F05A15A" wp14:editId="360BC8BF">
          <wp:simplePos x="0" y="0"/>
          <wp:positionH relativeFrom="column">
            <wp:posOffset>-802167</wp:posOffset>
          </wp:positionH>
          <wp:positionV relativeFrom="paragraph">
            <wp:posOffset>-352425</wp:posOffset>
          </wp:positionV>
          <wp:extent cx="720000" cy="720000"/>
          <wp:effectExtent l="0" t="0" r="4445" b="444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BESIP - pod graf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B449F">
      <w:rPr>
        <w:rFonts w:asciiTheme="minorHAnsi" w:hAnsiTheme="minorHAnsi" w:cstheme="minorHAnsi"/>
        <w:color w:val="FF0066"/>
        <w:sz w:val="28"/>
        <w:szCs w:val="28"/>
      </w:rPr>
      <w:t>Tisková zpráva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470E0"/>
    <w:multiLevelType w:val="hybridMultilevel"/>
    <w:tmpl w:val="DCF67DB6"/>
    <w:lvl w:ilvl="0" w:tplc="4DB80DB2">
      <w:start w:val="3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726DC7"/>
    <w:multiLevelType w:val="hybridMultilevel"/>
    <w:tmpl w:val="58FC2F3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FC0841"/>
    <w:multiLevelType w:val="hybridMultilevel"/>
    <w:tmpl w:val="08E22528"/>
    <w:lvl w:ilvl="0" w:tplc="B49416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01C"/>
    <w:rsid w:val="00017BFE"/>
    <w:rsid w:val="000356AD"/>
    <w:rsid w:val="000444D8"/>
    <w:rsid w:val="00045A91"/>
    <w:rsid w:val="000520F0"/>
    <w:rsid w:val="0006233A"/>
    <w:rsid w:val="00070BDC"/>
    <w:rsid w:val="00077F9F"/>
    <w:rsid w:val="0009253D"/>
    <w:rsid w:val="00097428"/>
    <w:rsid w:val="000B4139"/>
    <w:rsid w:val="000C2956"/>
    <w:rsid w:val="000C63E0"/>
    <w:rsid w:val="000D4067"/>
    <w:rsid w:val="000D5306"/>
    <w:rsid w:val="000F2D10"/>
    <w:rsid w:val="000F4DA8"/>
    <w:rsid w:val="00104099"/>
    <w:rsid w:val="00104111"/>
    <w:rsid w:val="00110EDE"/>
    <w:rsid w:val="001176B7"/>
    <w:rsid w:val="001202FB"/>
    <w:rsid w:val="00120840"/>
    <w:rsid w:val="00130EBD"/>
    <w:rsid w:val="00133E4D"/>
    <w:rsid w:val="00161CD1"/>
    <w:rsid w:val="001647D5"/>
    <w:rsid w:val="00170F05"/>
    <w:rsid w:val="00182609"/>
    <w:rsid w:val="00186329"/>
    <w:rsid w:val="00190584"/>
    <w:rsid w:val="0019544B"/>
    <w:rsid w:val="001A13FB"/>
    <w:rsid w:val="001D4711"/>
    <w:rsid w:val="001E18C1"/>
    <w:rsid w:val="001E357E"/>
    <w:rsid w:val="001F3C9D"/>
    <w:rsid w:val="001F5045"/>
    <w:rsid w:val="001F6F62"/>
    <w:rsid w:val="00205CCD"/>
    <w:rsid w:val="00206F66"/>
    <w:rsid w:val="00212D83"/>
    <w:rsid w:val="00230DD2"/>
    <w:rsid w:val="00235554"/>
    <w:rsid w:val="002513BA"/>
    <w:rsid w:val="002564FF"/>
    <w:rsid w:val="0025739F"/>
    <w:rsid w:val="00277180"/>
    <w:rsid w:val="00287BC9"/>
    <w:rsid w:val="002D3979"/>
    <w:rsid w:val="002E566A"/>
    <w:rsid w:val="002F1D3C"/>
    <w:rsid w:val="002F638B"/>
    <w:rsid w:val="00301FAA"/>
    <w:rsid w:val="0031697E"/>
    <w:rsid w:val="00323EFE"/>
    <w:rsid w:val="00324449"/>
    <w:rsid w:val="00325FE4"/>
    <w:rsid w:val="00336D03"/>
    <w:rsid w:val="003412AC"/>
    <w:rsid w:val="0034539F"/>
    <w:rsid w:val="00346BB5"/>
    <w:rsid w:val="00347FCF"/>
    <w:rsid w:val="00350858"/>
    <w:rsid w:val="0036485C"/>
    <w:rsid w:val="00374655"/>
    <w:rsid w:val="00381377"/>
    <w:rsid w:val="003906C7"/>
    <w:rsid w:val="0039187A"/>
    <w:rsid w:val="003966A0"/>
    <w:rsid w:val="003A5CD9"/>
    <w:rsid w:val="003B39E3"/>
    <w:rsid w:val="003C7D3B"/>
    <w:rsid w:val="003D1A0C"/>
    <w:rsid w:val="003D63B8"/>
    <w:rsid w:val="003F1D48"/>
    <w:rsid w:val="003F6AC8"/>
    <w:rsid w:val="00403A79"/>
    <w:rsid w:val="00407371"/>
    <w:rsid w:val="00414D05"/>
    <w:rsid w:val="004176C1"/>
    <w:rsid w:val="00467111"/>
    <w:rsid w:val="004723E4"/>
    <w:rsid w:val="004A3248"/>
    <w:rsid w:val="004A5115"/>
    <w:rsid w:val="004B32F9"/>
    <w:rsid w:val="004C1D1F"/>
    <w:rsid w:val="004C6A87"/>
    <w:rsid w:val="004E4CEE"/>
    <w:rsid w:val="004F5625"/>
    <w:rsid w:val="004F7A09"/>
    <w:rsid w:val="0051312D"/>
    <w:rsid w:val="005171B0"/>
    <w:rsid w:val="0052299C"/>
    <w:rsid w:val="005367C7"/>
    <w:rsid w:val="00540172"/>
    <w:rsid w:val="00540605"/>
    <w:rsid w:val="00545D22"/>
    <w:rsid w:val="00547C59"/>
    <w:rsid w:val="0058160F"/>
    <w:rsid w:val="00582E93"/>
    <w:rsid w:val="005C17D8"/>
    <w:rsid w:val="005D0B11"/>
    <w:rsid w:val="005D19CF"/>
    <w:rsid w:val="005D44F8"/>
    <w:rsid w:val="005F5D97"/>
    <w:rsid w:val="00605F13"/>
    <w:rsid w:val="006060CC"/>
    <w:rsid w:val="00607C46"/>
    <w:rsid w:val="006129A3"/>
    <w:rsid w:val="006244DE"/>
    <w:rsid w:val="0064168A"/>
    <w:rsid w:val="006537FC"/>
    <w:rsid w:val="0065472E"/>
    <w:rsid w:val="00655E92"/>
    <w:rsid w:val="00662B04"/>
    <w:rsid w:val="006631B5"/>
    <w:rsid w:val="0066718B"/>
    <w:rsid w:val="006764B2"/>
    <w:rsid w:val="00692262"/>
    <w:rsid w:val="0069617E"/>
    <w:rsid w:val="006C5B7B"/>
    <w:rsid w:val="006C6D05"/>
    <w:rsid w:val="006D3575"/>
    <w:rsid w:val="006D5CA4"/>
    <w:rsid w:val="006D7E0B"/>
    <w:rsid w:val="006F3C2A"/>
    <w:rsid w:val="006F5F53"/>
    <w:rsid w:val="00700C39"/>
    <w:rsid w:val="0070428F"/>
    <w:rsid w:val="00707882"/>
    <w:rsid w:val="00710E5C"/>
    <w:rsid w:val="007150E5"/>
    <w:rsid w:val="00716222"/>
    <w:rsid w:val="00721FFA"/>
    <w:rsid w:val="0073672D"/>
    <w:rsid w:val="00747854"/>
    <w:rsid w:val="0075179A"/>
    <w:rsid w:val="00753260"/>
    <w:rsid w:val="00756AF3"/>
    <w:rsid w:val="00763BDE"/>
    <w:rsid w:val="007700A2"/>
    <w:rsid w:val="00774B3A"/>
    <w:rsid w:val="00783253"/>
    <w:rsid w:val="00783855"/>
    <w:rsid w:val="007C265E"/>
    <w:rsid w:val="007C3385"/>
    <w:rsid w:val="007C58C9"/>
    <w:rsid w:val="007F46BF"/>
    <w:rsid w:val="007F64B3"/>
    <w:rsid w:val="008060A4"/>
    <w:rsid w:val="0081465E"/>
    <w:rsid w:val="008325A1"/>
    <w:rsid w:val="0083728E"/>
    <w:rsid w:val="00841A5E"/>
    <w:rsid w:val="00852AE5"/>
    <w:rsid w:val="00854EDD"/>
    <w:rsid w:val="0086419B"/>
    <w:rsid w:val="0087251E"/>
    <w:rsid w:val="00885510"/>
    <w:rsid w:val="00887BC7"/>
    <w:rsid w:val="008927A3"/>
    <w:rsid w:val="008A7E71"/>
    <w:rsid w:val="008B128A"/>
    <w:rsid w:val="008B6E2B"/>
    <w:rsid w:val="008C4892"/>
    <w:rsid w:val="008E6547"/>
    <w:rsid w:val="00900EC9"/>
    <w:rsid w:val="009121C8"/>
    <w:rsid w:val="009122D3"/>
    <w:rsid w:val="009204C9"/>
    <w:rsid w:val="00921023"/>
    <w:rsid w:val="0093462B"/>
    <w:rsid w:val="0093701C"/>
    <w:rsid w:val="009425B0"/>
    <w:rsid w:val="00950410"/>
    <w:rsid w:val="009530BB"/>
    <w:rsid w:val="00953E09"/>
    <w:rsid w:val="009613C1"/>
    <w:rsid w:val="00963193"/>
    <w:rsid w:val="009A31A6"/>
    <w:rsid w:val="009B4DB4"/>
    <w:rsid w:val="009B73D9"/>
    <w:rsid w:val="009C0085"/>
    <w:rsid w:val="009C0236"/>
    <w:rsid w:val="009C129D"/>
    <w:rsid w:val="009C1CF2"/>
    <w:rsid w:val="009C358F"/>
    <w:rsid w:val="009C41E8"/>
    <w:rsid w:val="009C6053"/>
    <w:rsid w:val="009D2BFC"/>
    <w:rsid w:val="009D537A"/>
    <w:rsid w:val="009D6084"/>
    <w:rsid w:val="009F3101"/>
    <w:rsid w:val="00A01AAF"/>
    <w:rsid w:val="00A03140"/>
    <w:rsid w:val="00A04976"/>
    <w:rsid w:val="00A04E99"/>
    <w:rsid w:val="00A13324"/>
    <w:rsid w:val="00A210DF"/>
    <w:rsid w:val="00A35AA8"/>
    <w:rsid w:val="00A363EE"/>
    <w:rsid w:val="00A370A9"/>
    <w:rsid w:val="00A410E2"/>
    <w:rsid w:val="00A45114"/>
    <w:rsid w:val="00A77623"/>
    <w:rsid w:val="00A85D7D"/>
    <w:rsid w:val="00AC4324"/>
    <w:rsid w:val="00AF4EC0"/>
    <w:rsid w:val="00B02263"/>
    <w:rsid w:val="00B022A0"/>
    <w:rsid w:val="00B17184"/>
    <w:rsid w:val="00B23D15"/>
    <w:rsid w:val="00B267DF"/>
    <w:rsid w:val="00B3429F"/>
    <w:rsid w:val="00B613A1"/>
    <w:rsid w:val="00B67479"/>
    <w:rsid w:val="00B93E47"/>
    <w:rsid w:val="00BC67DC"/>
    <w:rsid w:val="00BD0434"/>
    <w:rsid w:val="00BE3856"/>
    <w:rsid w:val="00BF5DA9"/>
    <w:rsid w:val="00C02869"/>
    <w:rsid w:val="00C03DC2"/>
    <w:rsid w:val="00C249D4"/>
    <w:rsid w:val="00C24BC5"/>
    <w:rsid w:val="00C3013D"/>
    <w:rsid w:val="00C54600"/>
    <w:rsid w:val="00C628BB"/>
    <w:rsid w:val="00C6354A"/>
    <w:rsid w:val="00C752CA"/>
    <w:rsid w:val="00C76D36"/>
    <w:rsid w:val="00CA29B5"/>
    <w:rsid w:val="00CA4FEF"/>
    <w:rsid w:val="00CB27A5"/>
    <w:rsid w:val="00CB5362"/>
    <w:rsid w:val="00CB57F2"/>
    <w:rsid w:val="00CB6105"/>
    <w:rsid w:val="00CD516D"/>
    <w:rsid w:val="00CD6685"/>
    <w:rsid w:val="00CE5148"/>
    <w:rsid w:val="00CF217C"/>
    <w:rsid w:val="00CF7574"/>
    <w:rsid w:val="00D062F3"/>
    <w:rsid w:val="00D20D6F"/>
    <w:rsid w:val="00D21A86"/>
    <w:rsid w:val="00D23539"/>
    <w:rsid w:val="00D26C91"/>
    <w:rsid w:val="00D30DC2"/>
    <w:rsid w:val="00D33911"/>
    <w:rsid w:val="00D34E6C"/>
    <w:rsid w:val="00D41447"/>
    <w:rsid w:val="00D52EA0"/>
    <w:rsid w:val="00D53478"/>
    <w:rsid w:val="00D61FA7"/>
    <w:rsid w:val="00D723F1"/>
    <w:rsid w:val="00D85596"/>
    <w:rsid w:val="00D946B3"/>
    <w:rsid w:val="00DA3950"/>
    <w:rsid w:val="00DB1352"/>
    <w:rsid w:val="00DB357C"/>
    <w:rsid w:val="00DB7595"/>
    <w:rsid w:val="00DC1505"/>
    <w:rsid w:val="00DE0045"/>
    <w:rsid w:val="00E12E47"/>
    <w:rsid w:val="00E14763"/>
    <w:rsid w:val="00E200D7"/>
    <w:rsid w:val="00E32945"/>
    <w:rsid w:val="00E355B3"/>
    <w:rsid w:val="00E44EF4"/>
    <w:rsid w:val="00E54AF2"/>
    <w:rsid w:val="00E70003"/>
    <w:rsid w:val="00E70960"/>
    <w:rsid w:val="00E740C3"/>
    <w:rsid w:val="00E77585"/>
    <w:rsid w:val="00E77AF8"/>
    <w:rsid w:val="00E846CB"/>
    <w:rsid w:val="00E84DE7"/>
    <w:rsid w:val="00E8645B"/>
    <w:rsid w:val="00E94D03"/>
    <w:rsid w:val="00E963BE"/>
    <w:rsid w:val="00EA10EB"/>
    <w:rsid w:val="00EA5794"/>
    <w:rsid w:val="00EB06AF"/>
    <w:rsid w:val="00EB48BE"/>
    <w:rsid w:val="00EC057A"/>
    <w:rsid w:val="00EC23A6"/>
    <w:rsid w:val="00EC23E5"/>
    <w:rsid w:val="00ED0EDC"/>
    <w:rsid w:val="00ED6C3D"/>
    <w:rsid w:val="00EE6F77"/>
    <w:rsid w:val="00EF264F"/>
    <w:rsid w:val="00EF4C4D"/>
    <w:rsid w:val="00EF4FC3"/>
    <w:rsid w:val="00EF5176"/>
    <w:rsid w:val="00F25413"/>
    <w:rsid w:val="00F3031B"/>
    <w:rsid w:val="00F31F0E"/>
    <w:rsid w:val="00F3638F"/>
    <w:rsid w:val="00F364AC"/>
    <w:rsid w:val="00F37A82"/>
    <w:rsid w:val="00F426BC"/>
    <w:rsid w:val="00F56954"/>
    <w:rsid w:val="00F66643"/>
    <w:rsid w:val="00F77803"/>
    <w:rsid w:val="00F94FA3"/>
    <w:rsid w:val="00FA44FF"/>
    <w:rsid w:val="00FB449F"/>
    <w:rsid w:val="00FC7E17"/>
    <w:rsid w:val="00FD480F"/>
    <w:rsid w:val="00FE417F"/>
    <w:rsid w:val="00FF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8E5382E"/>
  <w15:docId w15:val="{0614F110-FD22-4C86-B8B8-BFEEA96CD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370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C1D1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1718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82E93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93701C"/>
    <w:pPr>
      <w:spacing w:before="100" w:beforeAutospacing="1" w:after="100" w:afterAutospacing="1"/>
    </w:pPr>
  </w:style>
  <w:style w:type="paragraph" w:styleId="Zhlav">
    <w:name w:val="header"/>
    <w:basedOn w:val="Normln"/>
    <w:link w:val="ZhlavChar"/>
    <w:uiPriority w:val="99"/>
    <w:unhideWhenUsed/>
    <w:rsid w:val="0093701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3701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3701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3701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93701C"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582E93"/>
    <w:rPr>
      <w:rFonts w:asciiTheme="majorHAnsi" w:eastAsiaTheme="majorEastAsia" w:hAnsiTheme="majorHAnsi" w:cstheme="majorBidi"/>
      <w:b/>
      <w:bCs/>
      <w:color w:val="5B9BD5" w:themeColor="accent1"/>
      <w:lang w:eastAsia="cs-CZ"/>
    </w:rPr>
  </w:style>
  <w:style w:type="table" w:styleId="Mkatabulky">
    <w:name w:val="Table Grid"/>
    <w:basedOn w:val="Normlntabulka"/>
    <w:uiPriority w:val="59"/>
    <w:rsid w:val="00582E93"/>
    <w:pPr>
      <w:spacing w:after="0" w:line="240" w:lineRule="auto"/>
    </w:pPr>
    <w:rPr>
      <w:rFonts w:eastAsiaTheme="minorEastAsia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B53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C265E"/>
    <w:rPr>
      <w:rFonts w:ascii="Tahoma" w:eastAsiaTheme="minorEastAsi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265E"/>
    <w:rPr>
      <w:rFonts w:ascii="Tahoma" w:eastAsiaTheme="minorEastAsia" w:hAnsi="Tahoma" w:cs="Tahoma"/>
      <w:sz w:val="16"/>
      <w:szCs w:val="16"/>
      <w:lang w:eastAsia="cs-CZ"/>
    </w:rPr>
  </w:style>
  <w:style w:type="character" w:customStyle="1" w:styleId="Nadpis1Char">
    <w:name w:val="Nadpis 1 Char"/>
    <w:basedOn w:val="Standardnpsmoodstavce"/>
    <w:link w:val="Nadpis1"/>
    <w:rsid w:val="004C1D1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CA29B5"/>
    <w:rPr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uiPriority w:val="1"/>
    <w:qFormat/>
    <w:rsid w:val="00710E5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bidi="cs-CZ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710E5C"/>
    <w:rPr>
      <w:rFonts w:ascii="Calibri" w:eastAsia="Calibri" w:hAnsi="Calibri" w:cs="Calibri"/>
      <w:lang w:eastAsia="cs-CZ" w:bidi="cs-CZ"/>
    </w:rPr>
  </w:style>
  <w:style w:type="character" w:customStyle="1" w:styleId="normaltextrun">
    <w:name w:val="normaltextrun"/>
    <w:basedOn w:val="Standardnpsmoodstavce"/>
    <w:rsid w:val="00710E5C"/>
  </w:style>
  <w:style w:type="character" w:customStyle="1" w:styleId="eop">
    <w:name w:val="eop"/>
    <w:basedOn w:val="Standardnpsmoodstavce"/>
    <w:rsid w:val="009B4DB4"/>
  </w:style>
  <w:style w:type="paragraph" w:customStyle="1" w:styleId="paragraph">
    <w:name w:val="paragraph"/>
    <w:basedOn w:val="Normln"/>
    <w:rsid w:val="009B4DB4"/>
    <w:pPr>
      <w:spacing w:before="100" w:beforeAutospacing="1" w:after="100" w:afterAutospacing="1"/>
    </w:pPr>
  </w:style>
  <w:style w:type="character" w:customStyle="1" w:styleId="Nadpis2Char">
    <w:name w:val="Nadpis 2 Char"/>
    <w:basedOn w:val="Standardnpsmoodstavce"/>
    <w:link w:val="Nadpis2"/>
    <w:uiPriority w:val="9"/>
    <w:rsid w:val="00B1718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spellingerror">
    <w:name w:val="spellingerror"/>
    <w:basedOn w:val="Standardnpsmoodstavce"/>
    <w:rsid w:val="009C41E8"/>
  </w:style>
  <w:style w:type="character" w:customStyle="1" w:styleId="normaltextrun1">
    <w:name w:val="normaltextrun1"/>
    <w:basedOn w:val="Standardnpsmoodstavce"/>
    <w:rsid w:val="009C41E8"/>
  </w:style>
  <w:style w:type="character" w:styleId="Sledovanodkaz">
    <w:name w:val="FollowedHyperlink"/>
    <w:basedOn w:val="Standardnpsmoodstavce"/>
    <w:uiPriority w:val="99"/>
    <w:semiHidden/>
    <w:unhideWhenUsed/>
    <w:rsid w:val="009530B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4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hody.cdv.cz/statistics.php?h=m3" TargetMode="External"/><Relationship Id="rId13" Type="http://schemas.openxmlformats.org/officeDocument/2006/relationships/hyperlink" Target="https://www.vyzkumnehod.cz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ibesip.cz/getattachment/Statistiky/Statistiky-nehodovosti-v-Ceske-republice/Dopravni-nehodovost-2020/20-01-NSBSP.pdf?lang=cs-CZ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mailto:tomas.nerold@mdcr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629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CDV</Company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Lukáš Kadula</dc:creator>
  <cp:lastModifiedBy>Nejedlo Tomáš Ing.</cp:lastModifiedBy>
  <cp:revision>6</cp:revision>
  <dcterms:created xsi:type="dcterms:W3CDTF">2020-02-14T11:38:00Z</dcterms:created>
  <dcterms:modified xsi:type="dcterms:W3CDTF">2020-02-14T11:43:00Z</dcterms:modified>
</cp:coreProperties>
</file>