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Default="00BD04C3" w:rsidP="005E6947">
      <w:pPr>
        <w:pStyle w:val="Zhlav"/>
        <w:ind w:left="-284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5225366</wp:posOffset>
            </wp:positionH>
            <wp:positionV relativeFrom="paragraph">
              <wp:posOffset>-653415</wp:posOffset>
            </wp:positionV>
            <wp:extent cx="1049216" cy="1049216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16" cy="104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1B8">
        <w:rPr>
          <w:noProof/>
        </w:rPr>
        <w:pict>
          <v:rect id="Obdélník 11" o:spid="_x0000_s1026" style="position:absolute;left:0;text-align:left;margin-left:-62.55pt;margin-top:-51.95pt;width:596.1pt;height:83.0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" fillcolor="#069ce2" stroked="f" strokeweight="2pt">
            <v:textbox>
              <w:txbxContent>
                <w:p w:rsidR="00BD04C3" w:rsidRPr="004406B6" w:rsidRDefault="00696AF9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8"/>
                      <w:szCs w:val="28"/>
                    </w:rPr>
                  </w:pPr>
                  <w:r w:rsidRPr="00696AF9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Železniční přejezdy - víme kde byly následky nehod nejfatálnější</w:t>
                  </w:r>
                </w:p>
                <w:p w:rsidR="00BD04C3" w:rsidRPr="00BD04C3" w:rsidRDefault="00BD04C3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D021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7" type="#_x0000_t202" style="position:absolute;left:0;text-align:left;margin-left:214.35pt;margin-top:-.5pt;width:268.9pt;height:64.4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" o:allowoverlap="f" stroked="f">
            <v:textbox inset="0,0,0,0">
              <w:txbxContent>
                <w:p w:rsidR="00C73B54" w:rsidRPr="00CE6C46" w:rsidRDefault="00C73B54" w:rsidP="00CE6C46">
                  <w:pPr>
                    <w:pStyle w:val="Zhlav"/>
                    <w:jc w:val="right"/>
                    <w:rPr>
                      <w:rFonts w:ascii="Myriad Pro" w:hAnsi="Myriad Pro"/>
                      <w:color w:val="13427E"/>
                      <w:sz w:val="18"/>
                      <w:szCs w:val="18"/>
                    </w:rPr>
                  </w:pPr>
                </w:p>
                <w:p w:rsidR="00C73B54" w:rsidRPr="00A10DE8" w:rsidRDefault="00C73B54">
                  <w:pPr>
                    <w:rPr>
                      <w:color w:val="13427E"/>
                    </w:rPr>
                  </w:pPr>
                </w:p>
              </w:txbxContent>
            </v:textbox>
            <w10:wrap type="square"/>
          </v:shape>
        </w:pict>
      </w:r>
    </w:p>
    <w:p w:rsidR="00490FEF" w:rsidRPr="00490FEF" w:rsidRDefault="00490FEF" w:rsidP="00A10DE8">
      <w:pPr>
        <w:pStyle w:val="Zhlav"/>
        <w:ind w:left="-284"/>
        <w:rPr>
          <w:rFonts w:ascii="Myriad Pro" w:hAnsi="Myriad Pro"/>
          <w:sz w:val="12"/>
          <w:szCs w:val="12"/>
        </w:rPr>
      </w:pPr>
    </w:p>
    <w:p w:rsidR="006B0FA7" w:rsidRDefault="006B0FA7" w:rsidP="00707A60">
      <w:pPr>
        <w:tabs>
          <w:tab w:val="left" w:pos="1230"/>
        </w:tabs>
        <w:rPr>
          <w:rFonts w:ascii="Myriad Pro" w:hAnsi="Myriad Pro"/>
          <w:sz w:val="12"/>
          <w:szCs w:val="12"/>
        </w:rPr>
      </w:pPr>
    </w:p>
    <w:p w:rsidR="004406B6" w:rsidRPr="00DE1CC9" w:rsidRDefault="00D021B8" w:rsidP="004406B6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D021B8">
        <w:rPr>
          <w:rFonts w:asciiTheme="minorHAnsi" w:hAnsiTheme="minorHAnsi"/>
          <w:noProof/>
          <w:sz w:val="12"/>
          <w:szCs w:val="12"/>
        </w:rPr>
        <w:pict>
          <v:line id="Přímá spojnice 2" o:spid="_x0000_s1028" style="position:absolute;left:0;text-align:left;z-index:251660288;visibility:visible;mso-width-relative:margin" from="-14.25pt,.45pt" to="483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" strokecolor="#069ce2"/>
        </w:pict>
      </w:r>
      <w:r w:rsidR="000F7059">
        <w:rPr>
          <w:rFonts w:asciiTheme="minorHAnsi" w:eastAsiaTheme="minorHAnsi" w:hAnsiTheme="minorHAnsi"/>
          <w:b/>
          <w:color w:val="297DC1"/>
          <w:sz w:val="28"/>
          <w:szCs w:val="28"/>
          <w:lang w:eastAsia="en-US"/>
        </w:rPr>
        <w:br/>
      </w:r>
      <w:r w:rsidR="00696AF9">
        <w:rPr>
          <w:rFonts w:asciiTheme="minorHAnsi" w:hAnsiTheme="minorHAnsi" w:cstheme="minorHAnsi"/>
          <w:i/>
          <w:sz w:val="21"/>
          <w:szCs w:val="21"/>
        </w:rPr>
        <w:t>12</w:t>
      </w:r>
      <w:r w:rsidR="004406B6">
        <w:rPr>
          <w:rFonts w:asciiTheme="minorHAnsi" w:hAnsiTheme="minorHAnsi" w:cstheme="minorHAnsi"/>
          <w:i/>
          <w:sz w:val="21"/>
          <w:szCs w:val="21"/>
        </w:rPr>
        <w:t>. 11. 2018</w:t>
      </w:r>
    </w:p>
    <w:p w:rsidR="004406B6" w:rsidRDefault="004406B6" w:rsidP="004406B6">
      <w:pPr>
        <w:jc w:val="both"/>
        <w:rPr>
          <w:rFonts w:asciiTheme="minorHAnsi" w:hAnsiTheme="minorHAnsi" w:cstheme="minorHAnsi"/>
          <w:b/>
          <w:sz w:val="21"/>
          <w:szCs w:val="21"/>
        </w:rPr>
      </w:pPr>
      <w:bookmarkStart w:id="0" w:name="_GoBack"/>
      <w:bookmarkEnd w:id="0"/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15875</wp:posOffset>
            </wp:positionV>
            <wp:extent cx="2305050" cy="1525270"/>
            <wp:effectExtent l="0" t="0" r="0" b="0"/>
            <wp:wrapTight wrapText="bothSides">
              <wp:wrapPolygon edited="0">
                <wp:start x="0" y="0"/>
                <wp:lineTo x="0" y="21312"/>
                <wp:lineTo x="21421" y="21312"/>
                <wp:lineTo x="21421" y="0"/>
                <wp:lineTo x="0" y="0"/>
              </wp:wrapPolygon>
            </wp:wrapTight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 xml:space="preserve">V roce 2017 bylo v důsledku dopravních nehod na železničních přejezdech evidováno 362 nehod (meziročně o 25 méně, tj. o 6,5 %). V důsledku těchto nehod bylo usmrceno 17 osob, dalších 17 osob bylo těžce zraněno a 103 osob bylo zraněno lehce. Z uvedených dat se pak </w:t>
      </w:r>
      <w:r w:rsidRPr="00C80CF7">
        <w:rPr>
          <w:rFonts w:asciiTheme="minorHAnsi" w:hAnsiTheme="minorHAnsi" w:cstheme="minorHAnsi"/>
          <w:b/>
          <w:sz w:val="22"/>
          <w:szCs w:val="22"/>
        </w:rPr>
        <w:t>případy srážky s vlakem podílely na 152 nehodách, 16 usmrcených, 15 těžce zraněných a 66 lehce zraněných</w:t>
      </w:r>
      <w:r>
        <w:rPr>
          <w:rFonts w:asciiTheme="minorHAnsi" w:hAnsiTheme="minorHAnsi" w:cstheme="minorHAnsi"/>
          <w:sz w:val="22"/>
          <w:szCs w:val="22"/>
        </w:rPr>
        <w:t xml:space="preserve">. Meziročně tak bylo při srážkách s vlakem evidováno o 8 nehod více, o 2 usmrcené osoby méně, o 5 těžce zraněných více a o 1 lehce zraněnou osobu více. </w:t>
      </w:r>
      <w:r w:rsidRPr="005E48D9">
        <w:rPr>
          <w:rFonts w:asciiTheme="minorHAnsi" w:hAnsiTheme="minorHAnsi" w:cstheme="minorHAnsi"/>
          <w:sz w:val="22"/>
          <w:szCs w:val="22"/>
        </w:rPr>
        <w:t>[1]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DD3DBF">
        <w:rPr>
          <w:rFonts w:asciiTheme="minorHAnsi" w:hAnsiTheme="minorHAnsi" w:cstheme="minorHAnsi"/>
          <w:sz w:val="22"/>
          <w:szCs w:val="22"/>
        </w:rPr>
        <w:t>Z pohledu zabezpečení přejezdů bylo v roce 2017 na nezabezpečených želez</w:t>
      </w:r>
      <w:r>
        <w:rPr>
          <w:rFonts w:asciiTheme="minorHAnsi" w:hAnsiTheme="minorHAnsi" w:cstheme="minorHAnsi"/>
          <w:sz w:val="22"/>
          <w:szCs w:val="22"/>
        </w:rPr>
        <w:t>ničních přejezdech evidováno 77 </w:t>
      </w:r>
      <w:r w:rsidRPr="00DD3DBF">
        <w:rPr>
          <w:rFonts w:asciiTheme="minorHAnsi" w:hAnsiTheme="minorHAnsi" w:cstheme="minorHAnsi"/>
          <w:sz w:val="22"/>
          <w:szCs w:val="22"/>
        </w:rPr>
        <w:t>nehod (51 %), zatímco na zabezpečených 75 nehod (49 %).</w:t>
      </w:r>
      <w:r>
        <w:rPr>
          <w:rFonts w:asciiTheme="minorHAnsi" w:hAnsiTheme="minorHAnsi" w:cstheme="minorHAnsi"/>
          <w:sz w:val="22"/>
          <w:szCs w:val="22"/>
        </w:rPr>
        <w:t xml:space="preserve"> U</w:t>
      </w:r>
      <w:r w:rsidRPr="00DD3DBF">
        <w:rPr>
          <w:rFonts w:asciiTheme="minorHAnsi" w:hAnsiTheme="minorHAnsi" w:cstheme="minorHAnsi"/>
          <w:sz w:val="22"/>
          <w:szCs w:val="22"/>
        </w:rPr>
        <w:t xml:space="preserve">smrceny na nezabezpečených železničních přejezdech </w:t>
      </w:r>
      <w:r>
        <w:rPr>
          <w:rFonts w:asciiTheme="minorHAnsi" w:hAnsiTheme="minorHAnsi" w:cstheme="minorHAnsi"/>
          <w:sz w:val="22"/>
          <w:szCs w:val="22"/>
        </w:rPr>
        <w:t xml:space="preserve">byly </w:t>
      </w:r>
      <w:r w:rsidRPr="00DD3DBF">
        <w:rPr>
          <w:rFonts w:asciiTheme="minorHAnsi" w:hAnsiTheme="minorHAnsi" w:cstheme="minorHAnsi"/>
          <w:sz w:val="22"/>
          <w:szCs w:val="22"/>
        </w:rPr>
        <w:t xml:space="preserve">3 osoby (19 %), zatímco na zabezpečených 13 osob (81 %). Zatímco na zabezpečených přejezdech je evidováno přibližně stejně nehod při srážkách s vlakem, u usmrcených osob je situace razantně v neprospěch zabezpečených přejezdů.Celková závažnost dopravních nehod v roce 2016 činila 4,8 usmrcených osob na 1 000 dopravních nehod. </w:t>
      </w:r>
      <w:r w:rsidRPr="00DD3DBF">
        <w:rPr>
          <w:rFonts w:asciiTheme="minorHAnsi" w:hAnsiTheme="minorHAnsi" w:cstheme="minorHAnsi"/>
          <w:b/>
          <w:sz w:val="22"/>
          <w:szCs w:val="22"/>
        </w:rPr>
        <w:t xml:space="preserve">Závažnost dopravních nehod na železničních přejezdech při srážce s vlakem v roce 2017 činila 105 usmrcených </w:t>
      </w:r>
      <w:r>
        <w:rPr>
          <w:rFonts w:asciiTheme="minorHAnsi" w:hAnsiTheme="minorHAnsi" w:cstheme="minorHAnsi"/>
          <w:b/>
          <w:sz w:val="22"/>
          <w:szCs w:val="22"/>
        </w:rPr>
        <w:t>osob na 1 000 dopravních nehod!</w:t>
      </w:r>
      <w:r w:rsidRPr="00DD3DBF">
        <w:rPr>
          <w:rFonts w:asciiTheme="minorHAnsi" w:hAnsiTheme="minorHAnsi" w:cstheme="minorHAnsi"/>
          <w:sz w:val="22"/>
          <w:szCs w:val="22"/>
        </w:rPr>
        <w:t xml:space="preserve"> Znamená to, že </w:t>
      </w:r>
      <w:r>
        <w:rPr>
          <w:rFonts w:asciiTheme="minorHAnsi" w:hAnsiTheme="minorHAnsi" w:cstheme="minorHAnsi"/>
          <w:b/>
          <w:sz w:val="22"/>
          <w:szCs w:val="22"/>
        </w:rPr>
        <w:t>dopravní nehody na </w:t>
      </w:r>
      <w:r w:rsidRPr="00DD3DBF">
        <w:rPr>
          <w:rFonts w:asciiTheme="minorHAnsi" w:hAnsiTheme="minorHAnsi" w:cstheme="minorHAnsi"/>
          <w:b/>
          <w:sz w:val="22"/>
          <w:szCs w:val="22"/>
        </w:rPr>
        <w:t>železničních přejezdech při srážce s vlakem vykazují 22x vyšší závažnost než je celkový průměr!!!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DD3DBF" w:rsidRDefault="00696AF9" w:rsidP="00696AF9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276860</wp:posOffset>
            </wp:positionV>
            <wp:extent cx="3248025" cy="1903644"/>
            <wp:effectExtent l="0" t="0" r="0" b="1905"/>
            <wp:wrapTight wrapText="bothSides">
              <wp:wrapPolygon edited="0">
                <wp:start x="0" y="0"/>
                <wp:lineTo x="0" y="21405"/>
                <wp:lineTo x="21410" y="21405"/>
                <wp:lineTo x="21410" y="0"/>
                <wp:lineTo x="0" y="0"/>
              </wp:wrapPolygon>
            </wp:wrapTight>
            <wp:docPr id="4" name="Obrázek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0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3DBF">
        <w:rPr>
          <w:rFonts w:asciiTheme="minorHAnsi" w:hAnsiTheme="minorHAnsi" w:cstheme="minorHAnsi"/>
          <w:color w:val="0070C0"/>
          <w:sz w:val="28"/>
          <w:szCs w:val="28"/>
        </w:rPr>
        <w:t xml:space="preserve">Situace v krajích </w:t>
      </w:r>
      <w:r>
        <w:rPr>
          <w:rFonts w:asciiTheme="minorHAnsi" w:hAnsiTheme="minorHAnsi" w:cstheme="minorHAnsi"/>
          <w:color w:val="0070C0"/>
          <w:sz w:val="28"/>
          <w:szCs w:val="28"/>
        </w:rPr>
        <w:t>byla</w:t>
      </w:r>
      <w:r w:rsidRPr="00DD3DBF">
        <w:rPr>
          <w:rFonts w:asciiTheme="minorHAnsi" w:hAnsiTheme="minorHAnsi" w:cstheme="minorHAnsi"/>
          <w:color w:val="0070C0"/>
          <w:sz w:val="28"/>
          <w:szCs w:val="28"/>
        </w:rPr>
        <w:t xml:space="preserve"> značně rozdílná</w:t>
      </w:r>
    </w:p>
    <w:p w:rsidR="00696AF9" w:rsidRPr="00366CA8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DD3DBF">
        <w:rPr>
          <w:rFonts w:asciiTheme="minorHAnsi" w:hAnsiTheme="minorHAnsi" w:cstheme="minorHAnsi"/>
          <w:sz w:val="22"/>
          <w:szCs w:val="22"/>
        </w:rPr>
        <w:t xml:space="preserve">Nejvíce </w:t>
      </w:r>
      <w:r w:rsidRPr="00DD3DBF">
        <w:rPr>
          <w:rFonts w:asciiTheme="minorHAnsi" w:hAnsiTheme="minorHAnsi" w:cstheme="minorHAnsi"/>
          <w:b/>
          <w:sz w:val="22"/>
          <w:szCs w:val="22"/>
        </w:rPr>
        <w:t>nehod</w:t>
      </w:r>
      <w:r w:rsidRPr="00DD3DBF">
        <w:rPr>
          <w:rFonts w:asciiTheme="minorHAnsi" w:hAnsiTheme="minorHAnsi" w:cstheme="minorHAnsi"/>
          <w:sz w:val="22"/>
          <w:szCs w:val="22"/>
        </w:rPr>
        <w:t xml:space="preserve"> na železničních přejezdech při srážce s vlakem v roce 2017 bylo evidováno ve Středočeském kraji (29), naopak nejméně v hl. m. Praze (2). V 6 krajích byl zaznamenán nadprůměrný počet těchto nehod.Nejvíce </w:t>
      </w:r>
      <w:r w:rsidRPr="00DD3DBF">
        <w:rPr>
          <w:rFonts w:asciiTheme="minorHAnsi" w:hAnsiTheme="minorHAnsi" w:cstheme="minorHAnsi"/>
          <w:b/>
          <w:sz w:val="22"/>
          <w:szCs w:val="22"/>
        </w:rPr>
        <w:t>usmrcených</w:t>
      </w:r>
      <w:r w:rsidRPr="00DD3DBF">
        <w:rPr>
          <w:rFonts w:asciiTheme="minorHAnsi" w:hAnsiTheme="minorHAnsi" w:cstheme="minorHAnsi"/>
          <w:sz w:val="22"/>
          <w:szCs w:val="22"/>
        </w:rPr>
        <w:t xml:space="preserve"> osob v Plzeňském kraji (4 osoby), naopak v 7 krajích nedošlo k usmrcení osoby.Nejvíce </w:t>
      </w:r>
      <w:r w:rsidRPr="00DD3DBF">
        <w:rPr>
          <w:rFonts w:asciiTheme="minorHAnsi" w:hAnsiTheme="minorHAnsi" w:cstheme="minorHAnsi"/>
          <w:b/>
          <w:sz w:val="22"/>
          <w:szCs w:val="22"/>
        </w:rPr>
        <w:t>těžce zraněných</w:t>
      </w:r>
      <w:r w:rsidRPr="00DD3DBF">
        <w:rPr>
          <w:rFonts w:asciiTheme="minorHAnsi" w:hAnsiTheme="minorHAnsi" w:cstheme="minorHAnsi"/>
          <w:sz w:val="22"/>
          <w:szCs w:val="22"/>
        </w:rPr>
        <w:t xml:space="preserve"> osob bylo v Ústeckém, Královéhradecké</w:t>
      </w:r>
      <w:r>
        <w:rPr>
          <w:rFonts w:asciiTheme="minorHAnsi" w:hAnsiTheme="minorHAnsi" w:cstheme="minorHAnsi"/>
          <w:sz w:val="22"/>
          <w:szCs w:val="22"/>
        </w:rPr>
        <w:t>m a Zlínském kraji (3 osoby), v </w:t>
      </w:r>
      <w:r w:rsidRPr="00DD3DBF">
        <w:rPr>
          <w:rFonts w:asciiTheme="minorHAnsi" w:hAnsiTheme="minorHAnsi" w:cstheme="minorHAnsi"/>
          <w:sz w:val="22"/>
          <w:szCs w:val="22"/>
        </w:rPr>
        <w:t xml:space="preserve">sedmi krajích nebyly těžce zraněny žádné osoby.Nejvíce </w:t>
      </w:r>
      <w:r w:rsidRPr="00DD3DBF">
        <w:rPr>
          <w:rFonts w:asciiTheme="minorHAnsi" w:hAnsiTheme="minorHAnsi" w:cstheme="minorHAnsi"/>
          <w:b/>
          <w:sz w:val="22"/>
          <w:szCs w:val="22"/>
        </w:rPr>
        <w:t>lehce zraněných</w:t>
      </w:r>
      <w:r w:rsidRPr="00DD3DBF">
        <w:rPr>
          <w:rFonts w:asciiTheme="minorHAnsi" w:hAnsiTheme="minorHAnsi" w:cstheme="minorHAnsi"/>
          <w:sz w:val="22"/>
          <w:szCs w:val="22"/>
        </w:rPr>
        <w:t xml:space="preserve"> osob bylo v Olomouckém kraji (15 osob), v hl. m. Praze nebyla lehce zraněna žádná osoba.Nehody a jejich následky na životech a zdraví </w:t>
      </w:r>
      <w:r w:rsidRPr="00366CA8">
        <w:rPr>
          <w:rFonts w:asciiTheme="minorHAnsi" w:hAnsiTheme="minorHAnsi" w:cstheme="minorHAnsi"/>
          <w:sz w:val="22"/>
          <w:szCs w:val="22"/>
        </w:rPr>
        <w:t xml:space="preserve">při srážkách s vlakem na železničních přejezdech v roce 2017 jsou uvedeny v </w:t>
      </w:r>
      <w:hyperlink r:id="rId12" w:history="1">
        <w:r w:rsidRPr="00366CA8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interaktivní mapě</w:t>
        </w:r>
      </w:hyperlink>
      <w:r w:rsidRPr="00366CA8">
        <w:rPr>
          <w:rFonts w:asciiTheme="minorHAnsi" w:hAnsiTheme="minorHAnsi" w:cstheme="minorHAnsi"/>
          <w:sz w:val="22"/>
          <w:szCs w:val="22"/>
        </w:rPr>
        <w:t>.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E10E6D" w:rsidRDefault="00696AF9" w:rsidP="00696AF9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E10E6D">
        <w:rPr>
          <w:rFonts w:asciiTheme="minorHAnsi" w:hAnsiTheme="minorHAnsi" w:cstheme="minorHAnsi"/>
          <w:color w:val="0070C0"/>
          <w:sz w:val="28"/>
          <w:szCs w:val="28"/>
        </w:rPr>
        <w:t>Nejvíce usmrcených, těžce i lehce zraněných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E94C71">
        <w:rPr>
          <w:rFonts w:asciiTheme="minorHAnsi" w:hAnsiTheme="minorHAnsi" w:cstheme="minorHAnsi"/>
          <w:b/>
          <w:sz w:val="22"/>
          <w:szCs w:val="22"/>
        </w:rPr>
        <w:t>K nejtragičtější nehodě na železničním přejezdu došlo v roce 2017 v pátek 20. ledna v ranních hodinách ve Vejprtnicích na Plzeňsku.</w:t>
      </w:r>
      <w:r>
        <w:rPr>
          <w:rFonts w:asciiTheme="minorHAnsi" w:hAnsiTheme="minorHAnsi" w:cstheme="minorHAnsi"/>
          <w:sz w:val="22"/>
          <w:szCs w:val="22"/>
        </w:rPr>
        <w:t xml:space="preserve"> Při této dopravní nehodě, která si vyžádala </w:t>
      </w:r>
      <w:r w:rsidRPr="00E94C71">
        <w:rPr>
          <w:rFonts w:asciiTheme="minorHAnsi" w:hAnsiTheme="minorHAnsi" w:cstheme="minorHAnsi"/>
          <w:b/>
          <w:sz w:val="22"/>
          <w:szCs w:val="22"/>
        </w:rPr>
        <w:t>3 usmrcené osoby</w:t>
      </w:r>
      <w:r>
        <w:rPr>
          <w:rFonts w:asciiTheme="minorHAnsi" w:hAnsiTheme="minorHAnsi" w:cstheme="minorHAnsi"/>
          <w:sz w:val="22"/>
          <w:szCs w:val="22"/>
        </w:rPr>
        <w:t xml:space="preserve">, se střetl osobní vlak s osobním vozidlem. Dle zprávy Drážní inspekce došlo k </w:t>
      </w:r>
      <w:r w:rsidRPr="00E94C71">
        <w:rPr>
          <w:rFonts w:asciiTheme="minorHAnsi" w:hAnsiTheme="minorHAnsi" w:cstheme="minorHAnsi"/>
          <w:sz w:val="22"/>
          <w:szCs w:val="22"/>
        </w:rPr>
        <w:t>nedovolené</w:t>
      </w:r>
      <w:r>
        <w:rPr>
          <w:rFonts w:asciiTheme="minorHAnsi" w:hAnsiTheme="minorHAnsi" w:cstheme="minorHAnsi"/>
          <w:sz w:val="22"/>
          <w:szCs w:val="22"/>
        </w:rPr>
        <w:t>mu</w:t>
      </w:r>
      <w:r w:rsidRPr="00E94C71">
        <w:rPr>
          <w:rFonts w:asciiTheme="minorHAnsi" w:hAnsiTheme="minorHAnsi" w:cstheme="minorHAnsi"/>
          <w:sz w:val="22"/>
          <w:szCs w:val="22"/>
        </w:rPr>
        <w:t xml:space="preserve"> vjetí osobního automobilu na železniční přejezdv době, kdy byla dávána světelná výstraha (červenými, střídavěpřerušovanými světly) i zvuková výstraha přejezdovéhozabezpečovacího zařízení.</w:t>
      </w:r>
      <w:r>
        <w:rPr>
          <w:rFonts w:asciiTheme="minorHAnsi" w:hAnsiTheme="minorHAnsi" w:cstheme="minorHAnsi"/>
          <w:sz w:val="22"/>
          <w:szCs w:val="22"/>
        </w:rPr>
        <w:t xml:space="preserve"> Detailní informace k nehodě včetně fotodokumentace jsou </w:t>
      </w:r>
      <w:r w:rsidRPr="00366CA8">
        <w:rPr>
          <w:rFonts w:asciiTheme="minorHAnsi" w:hAnsiTheme="minorHAnsi" w:cstheme="minorHAnsi"/>
          <w:sz w:val="22"/>
          <w:szCs w:val="22"/>
        </w:rPr>
        <w:t xml:space="preserve">k dispozici </w:t>
      </w:r>
      <w:hyperlink r:id="rId13" w:history="1">
        <w:r w:rsidRPr="00366CA8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366CA8">
        <w:rPr>
          <w:rFonts w:asciiTheme="minorHAnsi" w:hAnsiTheme="minorHAnsi" w:cstheme="minorHAnsi"/>
          <w:sz w:val="22"/>
          <w:szCs w:val="22"/>
        </w:rPr>
        <w:t xml:space="preserve">. V pondělí 17. dubna 2017 v dopoledních hodinách ve Všestarech na Královéhradecku došlo ke </w:t>
      </w:r>
      <w:r>
        <w:rPr>
          <w:rFonts w:asciiTheme="minorHAnsi" w:hAnsiTheme="minorHAnsi" w:cstheme="minorHAnsi"/>
          <w:sz w:val="22"/>
          <w:szCs w:val="22"/>
        </w:rPr>
        <w:t xml:space="preserve">střetu osobního vlaku s osobním vozidlem, </w:t>
      </w:r>
      <w:r>
        <w:rPr>
          <w:rFonts w:asciiTheme="minorHAnsi" w:hAnsiTheme="minorHAnsi" w:cstheme="minorHAnsi"/>
          <w:b/>
          <w:sz w:val="22"/>
          <w:szCs w:val="22"/>
        </w:rPr>
        <w:t>těžce zraněni</w:t>
      </w:r>
      <w:r w:rsidRPr="00E10E6D">
        <w:rPr>
          <w:rFonts w:asciiTheme="minorHAnsi" w:hAnsiTheme="minorHAnsi" w:cstheme="minorHAnsi"/>
          <w:b/>
          <w:sz w:val="22"/>
          <w:szCs w:val="22"/>
        </w:rPr>
        <w:t xml:space="preserve"> byli 3 senioři </w:t>
      </w:r>
      <w:r>
        <w:rPr>
          <w:rFonts w:asciiTheme="minorHAnsi" w:hAnsiTheme="minorHAnsi" w:cstheme="minorHAnsi"/>
          <w:sz w:val="22"/>
          <w:szCs w:val="22"/>
        </w:rPr>
        <w:t xml:space="preserve">(řidič 80 let a 2 spolujezdkyně 76 a 73 let). Nejvíce </w:t>
      </w:r>
      <w:r w:rsidRPr="00E10E6D">
        <w:rPr>
          <w:rFonts w:asciiTheme="minorHAnsi" w:hAnsiTheme="minorHAnsi" w:cstheme="minorHAnsi"/>
          <w:b/>
          <w:sz w:val="22"/>
          <w:szCs w:val="22"/>
        </w:rPr>
        <w:t>lehce zraněných osob (9)</w:t>
      </w:r>
      <w:r>
        <w:rPr>
          <w:rFonts w:asciiTheme="minorHAnsi" w:hAnsiTheme="minorHAnsi" w:cstheme="minorHAnsi"/>
          <w:sz w:val="22"/>
          <w:szCs w:val="22"/>
        </w:rPr>
        <w:t xml:space="preserve"> si vyžádala ve středu 20. září v brzkých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ranních nehodách nehoda osobního vlaku s nákladním automobilem, které vjelo na železniční přejezd v době, kdy svítila světelná signalizace. </w:t>
      </w:r>
      <w:r w:rsidRPr="005E48D9">
        <w:rPr>
          <w:rFonts w:asciiTheme="minorHAnsi" w:hAnsiTheme="minorHAnsi" w:cstheme="minorHAnsi"/>
          <w:sz w:val="22"/>
          <w:szCs w:val="22"/>
        </w:rPr>
        <w:t>[2]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366CA8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366CA8">
        <w:rPr>
          <w:rFonts w:asciiTheme="minorHAnsi" w:hAnsiTheme="minorHAnsi" w:cstheme="minorHAnsi"/>
          <w:b/>
          <w:sz w:val="22"/>
          <w:szCs w:val="22"/>
        </w:rPr>
        <w:t>Jak řešit kritické situace na železničních přejezdech?</w:t>
      </w:r>
      <w:r w:rsidRPr="00366CA8">
        <w:rPr>
          <w:rFonts w:asciiTheme="minorHAnsi" w:hAnsiTheme="minorHAnsi" w:cstheme="minorHAnsi"/>
          <w:sz w:val="22"/>
          <w:szCs w:val="22"/>
        </w:rPr>
        <w:t xml:space="preserve"> Video s návodem k dispozici </w:t>
      </w:r>
      <w:hyperlink r:id="rId14" w:history="1">
        <w:r w:rsidRPr="00366CA8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366CA8">
        <w:rPr>
          <w:rFonts w:asciiTheme="minorHAnsi" w:hAnsiTheme="minorHAnsi" w:cstheme="minorHAnsi"/>
          <w:sz w:val="22"/>
          <w:szCs w:val="22"/>
        </w:rPr>
        <w:t>.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581D20" w:rsidRDefault="00696AF9" w:rsidP="00696AF9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581D20">
        <w:rPr>
          <w:rFonts w:asciiTheme="minorHAnsi" w:hAnsiTheme="minorHAnsi" w:cstheme="minorHAnsi"/>
          <w:color w:val="0070C0"/>
          <w:sz w:val="28"/>
          <w:szCs w:val="28"/>
        </w:rPr>
        <w:t>Vývoj roku 2018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DD3DBF">
        <w:rPr>
          <w:rFonts w:asciiTheme="minorHAnsi" w:hAnsiTheme="minorHAnsi" w:cstheme="minorHAnsi"/>
          <w:sz w:val="22"/>
          <w:szCs w:val="22"/>
        </w:rPr>
        <w:t xml:space="preserve">V období ledna až </w:t>
      </w:r>
      <w:r>
        <w:rPr>
          <w:rFonts w:asciiTheme="minorHAnsi" w:hAnsiTheme="minorHAnsi" w:cstheme="minorHAnsi"/>
          <w:sz w:val="22"/>
          <w:szCs w:val="22"/>
        </w:rPr>
        <w:t>října</w:t>
      </w:r>
      <w:r w:rsidRPr="00DD3DBF">
        <w:rPr>
          <w:rFonts w:asciiTheme="minorHAnsi" w:hAnsiTheme="minorHAnsi" w:cstheme="minorHAnsi"/>
          <w:sz w:val="22"/>
          <w:szCs w:val="22"/>
        </w:rPr>
        <w:t xml:space="preserve"> bylo v důsledku </w:t>
      </w:r>
      <w:r>
        <w:rPr>
          <w:rFonts w:asciiTheme="minorHAnsi" w:hAnsiTheme="minorHAnsi" w:cstheme="minorHAnsi"/>
          <w:sz w:val="22"/>
          <w:szCs w:val="22"/>
        </w:rPr>
        <w:t>srážky s vlakem</w:t>
      </w:r>
      <w:r w:rsidRPr="00DD3DBF">
        <w:rPr>
          <w:rFonts w:asciiTheme="minorHAnsi" w:hAnsiTheme="minorHAnsi" w:cstheme="minorHAnsi"/>
          <w:sz w:val="22"/>
          <w:szCs w:val="22"/>
        </w:rPr>
        <w:t xml:space="preserve"> na ž</w:t>
      </w:r>
      <w:r>
        <w:rPr>
          <w:rFonts w:asciiTheme="minorHAnsi" w:hAnsiTheme="minorHAnsi" w:cstheme="minorHAnsi"/>
          <w:sz w:val="22"/>
          <w:szCs w:val="22"/>
        </w:rPr>
        <w:t xml:space="preserve">elezničních přejezdech evidováno </w:t>
      </w:r>
      <w:r w:rsidRPr="003E2682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24</w:t>
      </w:r>
      <w:r w:rsidRPr="003E2682">
        <w:rPr>
          <w:rFonts w:asciiTheme="minorHAnsi" w:hAnsiTheme="minorHAnsi" w:cstheme="minorHAnsi"/>
          <w:b/>
          <w:sz w:val="22"/>
          <w:szCs w:val="22"/>
        </w:rPr>
        <w:t xml:space="preserve"> dopravních nehod</w:t>
      </w:r>
      <w:r>
        <w:t xml:space="preserve">, </w:t>
      </w:r>
      <w:r w:rsidRPr="003E2682">
        <w:rPr>
          <w:rFonts w:asciiTheme="minorHAnsi" w:hAnsiTheme="minorHAnsi" w:cstheme="minorHAnsi"/>
          <w:sz w:val="22"/>
          <w:szCs w:val="22"/>
        </w:rPr>
        <w:t xml:space="preserve">tj. o </w:t>
      </w:r>
      <w:r>
        <w:rPr>
          <w:rFonts w:asciiTheme="minorHAnsi" w:hAnsiTheme="minorHAnsi" w:cstheme="minorHAnsi"/>
          <w:sz w:val="22"/>
          <w:szCs w:val="22"/>
        </w:rPr>
        <w:t>2 méně než v předchozím roce, vříjnu</w:t>
      </w:r>
      <w:r w:rsidRPr="003E2682">
        <w:rPr>
          <w:rFonts w:asciiTheme="minorHAnsi" w:hAnsiTheme="minorHAnsi" w:cstheme="minorHAnsi"/>
          <w:sz w:val="22"/>
          <w:szCs w:val="22"/>
        </w:rPr>
        <w:t xml:space="preserve"> 2018 bylo těchto nehod 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3E268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V důsledku těchto nehod bylo </w:t>
      </w:r>
      <w:r w:rsidRPr="003E2682">
        <w:rPr>
          <w:rFonts w:asciiTheme="minorHAnsi" w:hAnsiTheme="minorHAnsi" w:cstheme="minorHAnsi"/>
          <w:b/>
          <w:sz w:val="22"/>
          <w:szCs w:val="22"/>
        </w:rPr>
        <w:t>usmrceno 1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3E2682">
        <w:rPr>
          <w:rFonts w:asciiTheme="minorHAnsi" w:hAnsiTheme="minorHAnsi" w:cstheme="minorHAnsi"/>
          <w:b/>
          <w:sz w:val="22"/>
          <w:szCs w:val="22"/>
        </w:rPr>
        <w:t xml:space="preserve"> osob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2682">
        <w:rPr>
          <w:rFonts w:asciiTheme="minorHAnsi" w:hAnsiTheme="minorHAnsi" w:cstheme="minorHAnsi"/>
          <w:sz w:val="22"/>
          <w:szCs w:val="22"/>
        </w:rPr>
        <w:t xml:space="preserve">tj. o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3E2682">
        <w:rPr>
          <w:rFonts w:asciiTheme="minorHAnsi" w:hAnsiTheme="minorHAnsi" w:cstheme="minorHAnsi"/>
          <w:sz w:val="22"/>
          <w:szCs w:val="22"/>
        </w:rPr>
        <w:t xml:space="preserve"> méně než v předchozím roce.  V předchozím roce byl nejtragičtějším měsícem červenec, kdy bylo usmrceno 5 osob, v letošním roce je nejtragičtější bilance evidována také v červenci (3 usmrcené osoby).</w:t>
      </w:r>
    </w:p>
    <w:p w:rsidR="00696AF9" w:rsidRPr="00DD3DBF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067120" cy="198000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2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067120" cy="1980000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2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AF9" w:rsidRPr="00667134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E10E6D" w:rsidRDefault="00696AF9" w:rsidP="00696AF9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E10E6D">
        <w:rPr>
          <w:rFonts w:asciiTheme="minorHAnsi" w:hAnsiTheme="minorHAnsi" w:cstheme="minorHAnsi"/>
          <w:color w:val="0070C0"/>
          <w:sz w:val="28"/>
          <w:szCs w:val="28"/>
        </w:rPr>
        <w:t>Evropské srovnání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EF0673">
        <w:rPr>
          <w:rFonts w:asciiTheme="minorHAnsi" w:hAnsiTheme="minorHAnsi" w:cstheme="minorHAnsi"/>
          <w:sz w:val="22"/>
          <w:szCs w:val="22"/>
        </w:rPr>
        <w:t>Česká republika má vlivem velmi husté železniční (9500 km) a silniční sítě (56 000 km) velký počet železničních přejezdů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5E48D9">
        <w:rPr>
          <w:rFonts w:asciiTheme="minorHAnsi" w:hAnsiTheme="minorHAnsi" w:cstheme="minorHAnsi"/>
          <w:sz w:val="22"/>
          <w:szCs w:val="22"/>
        </w:rPr>
        <w:t xml:space="preserve">Země se srovnatelnou rozlohou jako Rakousko, Irsko, Maďarsko, Portugalsko nebo Řecko mají zpravidla podstatně nižší počet železničních přejezdů.Česká republika </w:t>
      </w:r>
      <w:r>
        <w:rPr>
          <w:rFonts w:asciiTheme="minorHAnsi" w:hAnsiTheme="minorHAnsi" w:cstheme="minorHAnsi"/>
          <w:sz w:val="22"/>
          <w:szCs w:val="22"/>
        </w:rPr>
        <w:t>se</w:t>
      </w:r>
      <w:r w:rsidRPr="005E48D9">
        <w:rPr>
          <w:rFonts w:asciiTheme="minorHAnsi" w:hAnsiTheme="minorHAnsi" w:cstheme="minorHAnsi"/>
          <w:sz w:val="22"/>
          <w:szCs w:val="22"/>
        </w:rPr>
        <w:t xml:space="preserve"> v počtu střetů na železničních přejezdech vztaže</w:t>
      </w:r>
      <w:r>
        <w:rPr>
          <w:rFonts w:asciiTheme="minorHAnsi" w:hAnsiTheme="minorHAnsi" w:cstheme="minorHAnsi"/>
          <w:sz w:val="22"/>
          <w:szCs w:val="22"/>
        </w:rPr>
        <w:t>ných na 1 milion vlakokilometrů</w:t>
      </w:r>
      <w:r w:rsidRPr="005E48D9">
        <w:rPr>
          <w:rFonts w:asciiTheme="minorHAnsi" w:hAnsiTheme="minorHAnsi" w:cstheme="minorHAnsi"/>
          <w:sz w:val="22"/>
          <w:szCs w:val="22"/>
        </w:rPr>
        <w:t xml:space="preserve"> řadí k nejnehodovějším zemím po boku Estonska a Řecka.</w:t>
      </w:r>
      <w:r>
        <w:rPr>
          <w:rFonts w:asciiTheme="minorHAnsi" w:hAnsiTheme="minorHAnsi" w:cstheme="minorHAnsi"/>
          <w:sz w:val="22"/>
          <w:szCs w:val="22"/>
        </w:rPr>
        <w:t xml:space="preserve"> V roce</w:t>
      </w:r>
      <w:r w:rsidRPr="005E48D9">
        <w:rPr>
          <w:rFonts w:asciiTheme="minorHAnsi" w:hAnsiTheme="minorHAnsi" w:cstheme="minorHAnsi"/>
          <w:sz w:val="22"/>
          <w:szCs w:val="22"/>
        </w:rPr>
        <w:t xml:space="preserve"> 2016</w:t>
      </w:r>
      <w:r>
        <w:rPr>
          <w:rFonts w:asciiTheme="minorHAnsi" w:hAnsiTheme="minorHAnsi" w:cstheme="minorHAnsi"/>
          <w:sz w:val="22"/>
          <w:szCs w:val="22"/>
        </w:rPr>
        <w:t xml:space="preserve"> připadalopřibližně</w:t>
      </w:r>
      <w:r w:rsidRPr="005E48D9">
        <w:rPr>
          <w:rFonts w:asciiTheme="minorHAnsi" w:hAnsiTheme="minorHAnsi" w:cstheme="minorHAnsi"/>
          <w:sz w:val="22"/>
          <w:szCs w:val="22"/>
        </w:rPr>
        <w:t xml:space="preserve"> jedno střetnutí na železničním přejezdu na 1 milion vlakokilometů.Česká republika </w:t>
      </w:r>
      <w:r>
        <w:rPr>
          <w:rFonts w:asciiTheme="minorHAnsi" w:hAnsiTheme="minorHAnsi" w:cstheme="minorHAnsi"/>
          <w:sz w:val="22"/>
          <w:szCs w:val="22"/>
        </w:rPr>
        <w:t>se také v počtu</w:t>
      </w:r>
      <w:r w:rsidRPr="005E48D9">
        <w:rPr>
          <w:rFonts w:asciiTheme="minorHAnsi" w:hAnsiTheme="minorHAnsi" w:cstheme="minorHAnsi"/>
          <w:sz w:val="22"/>
          <w:szCs w:val="22"/>
        </w:rPr>
        <w:t xml:space="preserve"> smrtelných střetnutí na železničních přejezdech vztažených na 1 milion vlakokilometrůnachází mezi evropskými státy v poslední třetině.</w:t>
      </w:r>
      <w:r w:rsidRPr="005E48D9">
        <w:rPr>
          <w:rFonts w:asciiTheme="minorHAnsi" w:hAnsiTheme="minorHAnsi" w:cstheme="minorHAnsi"/>
          <w:b/>
          <w:sz w:val="22"/>
          <w:szCs w:val="22"/>
        </w:rPr>
        <w:t>Vůbec nejhorší bilance je u České republiky evidována v počtu smrtelných střetnutí na počet obyvatel.</w:t>
      </w:r>
      <w:r w:rsidRPr="005E48D9">
        <w:rPr>
          <w:rFonts w:asciiTheme="minorHAnsi" w:hAnsiTheme="minorHAnsi" w:cstheme="minorHAnsi"/>
          <w:sz w:val="22"/>
          <w:szCs w:val="22"/>
        </w:rPr>
        <w:t>Státy s nejlepšími výsledky js</w:t>
      </w:r>
      <w:r>
        <w:rPr>
          <w:rFonts w:asciiTheme="minorHAnsi" w:hAnsiTheme="minorHAnsi" w:cstheme="minorHAnsi"/>
          <w:sz w:val="22"/>
          <w:szCs w:val="22"/>
        </w:rPr>
        <w:t>ou tradičně Irsko a </w:t>
      </w:r>
      <w:r w:rsidRPr="005E48D9">
        <w:rPr>
          <w:rFonts w:asciiTheme="minorHAnsi" w:hAnsiTheme="minorHAnsi" w:cstheme="minorHAnsi"/>
          <w:sz w:val="22"/>
          <w:szCs w:val="22"/>
        </w:rPr>
        <w:t>Velká Británie.[3]</w:t>
      </w:r>
    </w:p>
    <w:p w:rsidR="00696AF9" w:rsidRPr="0014756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  <w:r w:rsidRPr="002A60A5">
        <w:rPr>
          <w:rFonts w:asciiTheme="minorHAnsi" w:hAnsiTheme="minorHAnsi" w:cstheme="minorHAnsi"/>
          <w:sz w:val="22"/>
          <w:szCs w:val="22"/>
        </w:rPr>
        <w:t xml:space="preserve">Detailní informace k vývoji nehodovosti na železničních přejezdech v ČR jsou k dispozici </w:t>
      </w:r>
      <w:hyperlink r:id="rId17" w:history="1">
        <w:r w:rsidRPr="002A60A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2A60A5">
        <w:rPr>
          <w:rFonts w:asciiTheme="minorHAnsi" w:hAnsiTheme="minorHAnsi" w:cstheme="minorHAnsi"/>
          <w:sz w:val="22"/>
          <w:szCs w:val="22"/>
        </w:rPr>
        <w:t>.</w:t>
      </w:r>
    </w:p>
    <w:p w:rsidR="00696AF9" w:rsidRDefault="00696AF9" w:rsidP="00696AF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6AF9" w:rsidRPr="004E46B2" w:rsidRDefault="00696AF9" w:rsidP="00696AF9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4E46B2">
        <w:rPr>
          <w:rFonts w:asciiTheme="minorHAnsi" w:hAnsiTheme="minorHAnsi" w:cstheme="minorHAnsi"/>
          <w:i/>
          <w:sz w:val="20"/>
          <w:szCs w:val="20"/>
        </w:rPr>
        <w:t xml:space="preserve">Pozn. V dopravních nehodách a jejich následcích na železničních přejezdech nejsou v případě zdrojových dat ŘSDP PP ČR uváděny střety vlaku s chodcem. Jelikož se nejedná o střety silničních motorových/nemotorových vozidel, spadají tyto případy pod evidenci </w:t>
      </w:r>
      <w:hyperlink r:id="rId18" w:history="1">
        <w:r w:rsidRPr="004E46B2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Drážní inspekce</w:t>
        </w:r>
      </w:hyperlink>
      <w:r w:rsidRPr="004E46B2">
        <w:rPr>
          <w:rFonts w:asciiTheme="minorHAnsi" w:hAnsiTheme="minorHAnsi" w:cstheme="minorHAnsi"/>
          <w:i/>
          <w:sz w:val="20"/>
          <w:szCs w:val="20"/>
        </w:rPr>
        <w:t>.</w:t>
      </w:r>
    </w:p>
    <w:p w:rsidR="00696AF9" w:rsidRPr="004E46B2" w:rsidRDefault="00696AF9" w:rsidP="00696AF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96AF9" w:rsidRPr="004E46B2" w:rsidRDefault="00696AF9" w:rsidP="00696AF9">
      <w:pPr>
        <w:jc w:val="both"/>
        <w:rPr>
          <w:rFonts w:asciiTheme="minorHAnsi" w:hAnsiTheme="minorHAnsi" w:cstheme="minorHAnsi"/>
          <w:sz w:val="20"/>
          <w:szCs w:val="20"/>
        </w:rPr>
      </w:pPr>
      <w:r w:rsidRPr="004E46B2">
        <w:rPr>
          <w:rFonts w:asciiTheme="minorHAnsi" w:hAnsiTheme="minorHAnsi" w:cstheme="minorHAnsi"/>
          <w:sz w:val="20"/>
          <w:szCs w:val="20"/>
        </w:rPr>
        <w:t>[1] ŘSDP PP ČR</w:t>
      </w:r>
    </w:p>
    <w:p w:rsidR="00696AF9" w:rsidRPr="004E46B2" w:rsidRDefault="00696AF9" w:rsidP="00696AF9">
      <w:pPr>
        <w:jc w:val="both"/>
        <w:rPr>
          <w:rFonts w:asciiTheme="minorHAnsi" w:hAnsiTheme="minorHAnsi" w:cstheme="minorHAnsi"/>
          <w:sz w:val="20"/>
          <w:szCs w:val="20"/>
        </w:rPr>
      </w:pPr>
      <w:r w:rsidRPr="004E46B2">
        <w:rPr>
          <w:rFonts w:asciiTheme="minorHAnsi" w:hAnsiTheme="minorHAnsi" w:cstheme="minorHAnsi"/>
          <w:sz w:val="20"/>
          <w:szCs w:val="20"/>
        </w:rPr>
        <w:t>[2] Drážní inspekce</w:t>
      </w:r>
    </w:p>
    <w:p w:rsidR="00696AF9" w:rsidRPr="004E46B2" w:rsidRDefault="00696AF9" w:rsidP="00696AF9">
      <w:pPr>
        <w:jc w:val="both"/>
        <w:rPr>
          <w:rFonts w:asciiTheme="minorHAnsi" w:hAnsiTheme="minorHAnsi" w:cstheme="minorHAnsi"/>
          <w:sz w:val="20"/>
          <w:szCs w:val="20"/>
        </w:rPr>
      </w:pPr>
      <w:r w:rsidRPr="004E46B2">
        <w:rPr>
          <w:rFonts w:asciiTheme="minorHAnsi" w:hAnsiTheme="minorHAnsi" w:cstheme="minorHAnsi"/>
          <w:sz w:val="20"/>
          <w:szCs w:val="20"/>
        </w:rPr>
        <w:t>[3] CDV: Analýza řešení krizových situací na železničních přejezdech</w:t>
      </w:r>
    </w:p>
    <w:p w:rsidR="004406B6" w:rsidRPr="00DE63E3" w:rsidRDefault="004406B6" w:rsidP="004406B6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7554E" w:rsidRPr="004406B6" w:rsidRDefault="00B7554E" w:rsidP="00637AE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406B6" w:rsidRPr="004406B6" w:rsidRDefault="004406B6" w:rsidP="00637AE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>Mgr. Tomáš NeřoldM.A.</w:t>
      </w:r>
    </w:p>
    <w:p w:rsidR="00E86FAC" w:rsidRPr="004406B6" w:rsidRDefault="00E86FAC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vedoucí</w:t>
      </w: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BA469C" w:rsidRPr="00413BC7" w:rsidRDefault="00BA469C" w:rsidP="00413BC7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tomas.nerold@mdcr.cz</w:t>
      </w:r>
    </w:p>
    <w:sectPr w:rsidR="00BA469C" w:rsidRPr="00413BC7" w:rsidSect="008D311C">
      <w:headerReference w:type="default" r:id="rId19"/>
      <w:footerReference w:type="default" r:id="rId20"/>
      <w:pgSz w:w="11906" w:h="16838"/>
      <w:pgMar w:top="1011" w:right="851" w:bottom="719" w:left="1260" w:header="709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3B3" w:rsidRDefault="00EE23B3" w:rsidP="00E45191">
      <w:r>
        <w:separator/>
      </w:r>
    </w:p>
  </w:endnote>
  <w:endnote w:type="continuationSeparator" w:id="1">
    <w:p w:rsidR="00EE23B3" w:rsidRDefault="00EE23B3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D021B8" w:rsidP="008E0608">
    <w:pPr>
      <w:ind w:left="-284"/>
    </w:pPr>
    <w:r>
      <w:rPr>
        <w:noProof/>
      </w:rPr>
      <w:pict>
        <v:rect id="Obdélník 8" o:spid="_x0000_s4097" style="position:absolute;left:0;text-align:left;margin-left:-92.55pt;margin-top:.25pt;width:626.1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" fillcolor="#069ce2" stroked="f" strokeweight="2pt">
          <v:textbox>
            <w:txbxContent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3B3" w:rsidRDefault="00EE23B3" w:rsidP="00E45191">
      <w:r>
        <w:separator/>
      </w:r>
    </w:p>
  </w:footnote>
  <w:footnote w:type="continuationSeparator" w:id="1">
    <w:p w:rsidR="00EE23B3" w:rsidRDefault="00EE23B3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71E7D"/>
    <w:rsid w:val="00172EE7"/>
    <w:rsid w:val="0017431B"/>
    <w:rsid w:val="00183466"/>
    <w:rsid w:val="0018635C"/>
    <w:rsid w:val="0019104B"/>
    <w:rsid w:val="001912E5"/>
    <w:rsid w:val="00192813"/>
    <w:rsid w:val="001943A0"/>
    <w:rsid w:val="00195635"/>
    <w:rsid w:val="001A49BC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3BC7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5751"/>
    <w:rsid w:val="004718E8"/>
    <w:rsid w:val="00474D17"/>
    <w:rsid w:val="00484192"/>
    <w:rsid w:val="00490FEF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F80"/>
    <w:rsid w:val="0054021D"/>
    <w:rsid w:val="00540D7B"/>
    <w:rsid w:val="005431F0"/>
    <w:rsid w:val="0054343E"/>
    <w:rsid w:val="00543BF4"/>
    <w:rsid w:val="005458E3"/>
    <w:rsid w:val="0055481A"/>
    <w:rsid w:val="00561A04"/>
    <w:rsid w:val="00563F0F"/>
    <w:rsid w:val="005649D6"/>
    <w:rsid w:val="00565B33"/>
    <w:rsid w:val="00571FDC"/>
    <w:rsid w:val="0058490F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6AF9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A594A"/>
    <w:rsid w:val="007A64C2"/>
    <w:rsid w:val="007B1AE5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E15C6"/>
    <w:rsid w:val="00CE6C46"/>
    <w:rsid w:val="00CF159A"/>
    <w:rsid w:val="00D005D8"/>
    <w:rsid w:val="00D021B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56A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23B3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72340"/>
    <w:rsid w:val="00F74DD4"/>
    <w:rsid w:val="00F75BDC"/>
    <w:rsid w:val="00F838A4"/>
    <w:rsid w:val="00F95DAD"/>
    <w:rsid w:val="00F96C22"/>
    <w:rsid w:val="00F96EBC"/>
    <w:rsid w:val="00FA5E4C"/>
    <w:rsid w:val="00FA68E6"/>
    <w:rsid w:val="00FB0EAF"/>
    <w:rsid w:val="00FB537E"/>
    <w:rsid w:val="00FC223C"/>
    <w:rsid w:val="00FC24DB"/>
    <w:rsid w:val="00FC4BE1"/>
    <w:rsid w:val="00FD77EA"/>
    <w:rsid w:val="00FF45C8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icr.cz/uploads/Zpravy/MU/DI_Vejprnice_170120.pdf" TargetMode="External"/><Relationship Id="rId18" Type="http://schemas.openxmlformats.org/officeDocument/2006/relationships/hyperlink" Target="http://www.dicr.c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oo.gl/L1ht88" TargetMode="External"/><Relationship Id="rId17" Type="http://schemas.openxmlformats.org/officeDocument/2006/relationships/hyperlink" Target="http://www.ibesip.cz/Statistiky/Statistiky-nehodovosti-v-Ceske-republice/Dopravni-nehodovost-v-roce-2018-(1)/Zeleznicni-prejezd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goo.gl/L1ht8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dv.cz/video-reseni-kritickych-situaci-na-zeleznicnich-prejezdec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432B9-E699-4AD3-BEEF-3BE4B21D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motor</cp:lastModifiedBy>
  <cp:revision>2</cp:revision>
  <cp:lastPrinted>2018-05-22T06:28:00Z</cp:lastPrinted>
  <dcterms:created xsi:type="dcterms:W3CDTF">2018-11-12T13:38:00Z</dcterms:created>
  <dcterms:modified xsi:type="dcterms:W3CDTF">2018-11-12T13:38:00Z</dcterms:modified>
</cp:coreProperties>
</file>