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F62" w:rsidRPr="001F6F62" w:rsidRDefault="003D04DA" w:rsidP="004C1D1F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b/>
          <w:color w:val="0070C0"/>
          <w:sz w:val="30"/>
          <w:szCs w:val="30"/>
        </w:rPr>
      </w:pPr>
      <w:bookmarkStart w:id="0" w:name="_GoBack"/>
      <w:bookmarkEnd w:id="0"/>
      <w:r>
        <w:rPr>
          <w:rFonts w:asciiTheme="minorHAnsi" w:hAnsiTheme="minorHAnsi" w:cstheme="minorHAnsi"/>
          <w:b/>
          <w:color w:val="0070C0"/>
          <w:sz w:val="30"/>
          <w:szCs w:val="30"/>
        </w:rPr>
        <w:t xml:space="preserve"> </w:t>
      </w:r>
      <w:r w:rsidR="001F6F62" w:rsidRPr="001F6F62">
        <w:rPr>
          <w:rFonts w:asciiTheme="minorHAnsi" w:hAnsiTheme="minorHAnsi" w:cstheme="minorHAnsi"/>
          <w:b/>
          <w:color w:val="0070C0"/>
          <w:sz w:val="30"/>
          <w:szCs w:val="30"/>
        </w:rPr>
        <w:t>Třicetiprocentní nárůst usmrcených v důsledku nedání přednosti v jízdě</w:t>
      </w:r>
    </w:p>
    <w:p w:rsidR="004C1D1F" w:rsidRPr="00DE1CC9" w:rsidRDefault="001F6F62" w:rsidP="004C1D1F">
      <w:pPr>
        <w:jc w:val="both"/>
        <w:rPr>
          <w:rFonts w:asciiTheme="minorHAnsi" w:hAnsiTheme="minorHAnsi" w:cstheme="minorHAnsi"/>
          <w:i/>
          <w:sz w:val="21"/>
          <w:szCs w:val="21"/>
        </w:rPr>
      </w:pPr>
      <w:r>
        <w:rPr>
          <w:rFonts w:asciiTheme="minorHAnsi" w:hAnsiTheme="minorHAnsi" w:cstheme="minorHAnsi"/>
          <w:i/>
          <w:sz w:val="21"/>
          <w:szCs w:val="21"/>
        </w:rPr>
        <w:t>1</w:t>
      </w:r>
      <w:r w:rsidR="00476146">
        <w:rPr>
          <w:rFonts w:asciiTheme="minorHAnsi" w:hAnsiTheme="minorHAnsi" w:cstheme="minorHAnsi"/>
          <w:i/>
          <w:sz w:val="21"/>
          <w:szCs w:val="21"/>
        </w:rPr>
        <w:t>2</w:t>
      </w:r>
      <w:r w:rsidR="004C1D1F">
        <w:rPr>
          <w:rFonts w:asciiTheme="minorHAnsi" w:hAnsiTheme="minorHAnsi" w:cstheme="minorHAnsi"/>
          <w:i/>
          <w:sz w:val="21"/>
          <w:szCs w:val="21"/>
        </w:rPr>
        <w:t xml:space="preserve">. </w:t>
      </w:r>
      <w:r>
        <w:rPr>
          <w:rFonts w:asciiTheme="minorHAnsi" w:hAnsiTheme="minorHAnsi" w:cstheme="minorHAnsi"/>
          <w:i/>
          <w:sz w:val="21"/>
          <w:szCs w:val="21"/>
        </w:rPr>
        <w:t>listopadu</w:t>
      </w:r>
      <w:r w:rsidR="004C1D1F">
        <w:rPr>
          <w:rFonts w:asciiTheme="minorHAnsi" w:hAnsiTheme="minorHAnsi" w:cstheme="minorHAnsi"/>
          <w:i/>
          <w:sz w:val="21"/>
          <w:szCs w:val="21"/>
        </w:rPr>
        <w:t xml:space="preserve"> 2019, Praha</w:t>
      </w:r>
    </w:p>
    <w:p w:rsidR="004C1D1F" w:rsidRPr="004F3045" w:rsidRDefault="00A77623" w:rsidP="004C1D1F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2800350</wp:posOffset>
            </wp:positionH>
            <wp:positionV relativeFrom="paragraph">
              <wp:posOffset>160655</wp:posOffset>
            </wp:positionV>
            <wp:extent cx="2948305" cy="1966595"/>
            <wp:effectExtent l="0" t="0" r="4445" b="0"/>
            <wp:wrapTight wrapText="bothSides">
              <wp:wrapPolygon edited="0">
                <wp:start x="0" y="0"/>
                <wp:lineTo x="0" y="21342"/>
                <wp:lineTo x="21493" y="21342"/>
                <wp:lineTo x="21493" y="0"/>
                <wp:lineTo x="0" y="0"/>
              </wp:wrapPolygon>
            </wp:wrapTight>
            <wp:docPr id="1" name="Obrázek 1" descr="Dopravní Značka, Dát Přednost, Cyklostezka, Chodní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pravní Značka, Dát Přednost, Cyklostezka, Chodní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196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82609" w:rsidRDefault="004C1D1F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F3045">
        <w:rPr>
          <w:rFonts w:asciiTheme="minorHAnsi" w:hAnsiTheme="minorHAnsi" w:cstheme="minorHAnsi"/>
          <w:b/>
          <w:sz w:val="22"/>
          <w:szCs w:val="22"/>
        </w:rPr>
        <w:t xml:space="preserve">V období </w:t>
      </w:r>
      <w:r w:rsidR="005F5D97">
        <w:rPr>
          <w:rFonts w:asciiTheme="minorHAnsi" w:hAnsiTheme="minorHAnsi" w:cstheme="minorHAnsi"/>
          <w:b/>
          <w:sz w:val="22"/>
          <w:szCs w:val="22"/>
        </w:rPr>
        <w:t>led</w:t>
      </w:r>
      <w:r w:rsidR="001F6F62">
        <w:rPr>
          <w:rFonts w:asciiTheme="minorHAnsi" w:hAnsiTheme="minorHAnsi" w:cstheme="minorHAnsi"/>
          <w:b/>
          <w:sz w:val="22"/>
          <w:szCs w:val="22"/>
        </w:rPr>
        <w:t>na až října</w:t>
      </w:r>
      <w:r w:rsidR="005F5D97">
        <w:rPr>
          <w:rFonts w:asciiTheme="minorHAnsi" w:hAnsiTheme="minorHAnsi" w:cstheme="minorHAnsi"/>
          <w:b/>
          <w:sz w:val="22"/>
          <w:szCs w:val="22"/>
        </w:rPr>
        <w:t xml:space="preserve"> 2019 bylo v důsledku dopravních nehod na pozemních komunikacích usmrceno </w:t>
      </w:r>
      <w:r w:rsidR="00A363EE">
        <w:rPr>
          <w:rFonts w:asciiTheme="minorHAnsi" w:hAnsiTheme="minorHAnsi" w:cstheme="minorHAnsi"/>
          <w:b/>
          <w:sz w:val="22"/>
          <w:szCs w:val="22"/>
        </w:rPr>
        <w:t>460</w:t>
      </w:r>
      <w:r w:rsidR="005F5D97">
        <w:rPr>
          <w:rFonts w:asciiTheme="minorHAnsi" w:hAnsiTheme="minorHAnsi" w:cstheme="minorHAnsi"/>
          <w:b/>
          <w:sz w:val="22"/>
          <w:szCs w:val="22"/>
        </w:rPr>
        <w:t xml:space="preserve"> a těžce zraněno </w:t>
      </w:r>
      <w:r w:rsidR="00182609">
        <w:rPr>
          <w:rFonts w:asciiTheme="minorHAnsi" w:hAnsiTheme="minorHAnsi" w:cstheme="minorHAnsi"/>
          <w:b/>
          <w:sz w:val="22"/>
          <w:szCs w:val="22"/>
        </w:rPr>
        <w:t>1</w:t>
      </w:r>
      <w:r w:rsidR="00A77623">
        <w:rPr>
          <w:rFonts w:asciiTheme="minorHAnsi" w:hAnsiTheme="minorHAnsi" w:cstheme="minorHAnsi"/>
          <w:b/>
          <w:sz w:val="22"/>
          <w:szCs w:val="22"/>
        </w:rPr>
        <w:t> </w:t>
      </w:r>
      <w:r w:rsidR="00A363EE">
        <w:rPr>
          <w:rFonts w:asciiTheme="minorHAnsi" w:hAnsiTheme="minorHAnsi" w:cstheme="minorHAnsi"/>
          <w:b/>
          <w:sz w:val="22"/>
          <w:szCs w:val="22"/>
        </w:rPr>
        <w:t>783</w:t>
      </w:r>
      <w:r w:rsidR="005F5D97">
        <w:rPr>
          <w:rFonts w:asciiTheme="minorHAnsi" w:hAnsiTheme="minorHAnsi" w:cstheme="minorHAnsi"/>
          <w:b/>
          <w:sz w:val="22"/>
          <w:szCs w:val="22"/>
        </w:rPr>
        <w:t xml:space="preserve"> osob</w:t>
      </w:r>
      <w:r w:rsidR="00182609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363EE">
        <w:rPr>
          <w:rFonts w:asciiTheme="minorHAnsi" w:hAnsiTheme="minorHAnsi" w:cstheme="minorHAnsi"/>
          <w:bCs/>
          <w:sz w:val="22"/>
          <w:szCs w:val="22"/>
        </w:rPr>
        <w:t>Počet usmrcených meziročně prakticky stagnuje (pozn. ve stejném období vloni bylo usmrceno 458 osob), v oblasti těžce zraněných byl pak evidován 17% pokles.</w:t>
      </w:r>
    </w:p>
    <w:p w:rsidR="00A363EE" w:rsidRDefault="00A363EE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A363EE" w:rsidRDefault="00A363EE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„</w:t>
      </w:r>
      <w:r w:rsidRPr="00A363E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Nejhorší meziroční bilance ze všech dílčích cílů </w:t>
      </w:r>
      <w:r w:rsidR="003D63B8" w:rsidRPr="00A363E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Národní strategie bezpečnosti silničního provozu 2011-2020 </w:t>
      </w:r>
      <w:r w:rsidRPr="00A363E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byla evidována </w:t>
      </w:r>
      <w:r w:rsidR="00922C2D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u nehod způsobených </w:t>
      </w:r>
      <w:r w:rsidRPr="00A363EE">
        <w:rPr>
          <w:rFonts w:asciiTheme="minorHAnsi" w:hAnsiTheme="minorHAnsi" w:cstheme="minorHAnsi"/>
          <w:bCs/>
          <w:i/>
          <w:iCs/>
          <w:sz w:val="22"/>
          <w:szCs w:val="22"/>
        </w:rPr>
        <w:t>nedání</w:t>
      </w:r>
      <w:r w:rsidR="00922C2D">
        <w:rPr>
          <w:rFonts w:asciiTheme="minorHAnsi" w:hAnsiTheme="minorHAnsi" w:cstheme="minorHAnsi"/>
          <w:bCs/>
          <w:i/>
          <w:iCs/>
          <w:sz w:val="22"/>
          <w:szCs w:val="22"/>
        </w:rPr>
        <w:t>m</w:t>
      </w:r>
      <w:r w:rsidRPr="00A363EE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přednosti v jízdě,</w:t>
      </w:r>
      <w:r>
        <w:rPr>
          <w:rFonts w:asciiTheme="minorHAnsi" w:hAnsiTheme="minorHAnsi" w:cstheme="minorHAnsi"/>
          <w:bCs/>
          <w:sz w:val="22"/>
          <w:szCs w:val="22"/>
        </w:rPr>
        <w:t xml:space="preserve">“ říká </w:t>
      </w:r>
      <w:r w:rsidRPr="009C0236">
        <w:rPr>
          <w:rFonts w:asciiTheme="minorHAnsi" w:hAnsiTheme="minorHAnsi" w:cstheme="minorHAnsi"/>
          <w:sz w:val="22"/>
          <w:szCs w:val="22"/>
        </w:rPr>
        <w:t>Mgr. Tomáš Neřold, vedoucí Samostatného oddělení BESIP Ministerstva dopravy a dodává:</w:t>
      </w:r>
      <w:r>
        <w:rPr>
          <w:rFonts w:asciiTheme="minorHAnsi" w:hAnsiTheme="minorHAnsi" w:cstheme="minorHAnsi"/>
          <w:sz w:val="22"/>
          <w:szCs w:val="22"/>
        </w:rPr>
        <w:t xml:space="preserve"> „</w:t>
      </w:r>
      <w:r w:rsidRPr="00A77623">
        <w:rPr>
          <w:rFonts w:asciiTheme="minorHAnsi" w:hAnsiTheme="minorHAnsi" w:cstheme="minorHAnsi"/>
          <w:b/>
          <w:bCs/>
          <w:i/>
          <w:iCs/>
          <w:sz w:val="22"/>
          <w:szCs w:val="22"/>
        </w:rPr>
        <w:t>V</w:t>
      </w:r>
      <w:r w:rsidR="00922C2D">
        <w:rPr>
          <w:rFonts w:asciiTheme="minorHAnsi" w:hAnsiTheme="minorHAnsi" w:cstheme="minorHAnsi"/>
          <w:b/>
          <w:bCs/>
          <w:i/>
          <w:iCs/>
          <w:sz w:val="22"/>
          <w:szCs w:val="22"/>
        </w:rPr>
        <w:t> </w:t>
      </w:r>
      <w:r w:rsidRPr="00A77623">
        <w:rPr>
          <w:rFonts w:asciiTheme="minorHAnsi" w:hAnsiTheme="minorHAnsi" w:cstheme="minorHAnsi"/>
          <w:b/>
          <w:bCs/>
          <w:i/>
          <w:iCs/>
          <w:sz w:val="22"/>
          <w:szCs w:val="22"/>
        </w:rPr>
        <w:t>uplynulých 10</w:t>
      </w:r>
      <w:r w:rsidR="00A77623">
        <w:rPr>
          <w:rFonts w:asciiTheme="minorHAnsi" w:hAnsiTheme="minorHAnsi" w:cstheme="minorHAnsi"/>
          <w:b/>
          <w:bCs/>
          <w:i/>
          <w:iCs/>
          <w:sz w:val="22"/>
          <w:szCs w:val="22"/>
        </w:rPr>
        <w:t> </w:t>
      </w:r>
      <w:r w:rsidRPr="00A77623">
        <w:rPr>
          <w:rFonts w:asciiTheme="minorHAnsi" w:hAnsiTheme="minorHAnsi" w:cstheme="minorHAnsi"/>
          <w:b/>
          <w:bCs/>
          <w:i/>
          <w:iCs/>
          <w:sz w:val="22"/>
          <w:szCs w:val="22"/>
        </w:rPr>
        <w:t>měsících bylo v důsledku nedání přednosti v jízdě usmrceno 82 osob, tj. meziročně o 19 více (+30</w:t>
      </w:r>
      <w:r w:rsidR="00A77623">
        <w:rPr>
          <w:rFonts w:asciiTheme="minorHAnsi" w:hAnsiTheme="minorHAnsi" w:cstheme="minorHAnsi"/>
          <w:b/>
          <w:bCs/>
          <w:i/>
          <w:iCs/>
          <w:sz w:val="22"/>
          <w:szCs w:val="22"/>
        </w:rPr>
        <w:t> </w:t>
      </w:r>
      <w:r w:rsidRPr="00A77623">
        <w:rPr>
          <w:rFonts w:asciiTheme="minorHAnsi" w:hAnsiTheme="minorHAnsi" w:cstheme="minorHAnsi"/>
          <w:b/>
          <w:bCs/>
          <w:i/>
          <w:iCs/>
          <w:sz w:val="22"/>
          <w:szCs w:val="22"/>
        </w:rPr>
        <w:t>%)</w:t>
      </w:r>
      <w:r w:rsidR="00D61FA7" w:rsidRPr="00A77623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  <w:r w:rsidR="00D61FA7" w:rsidRPr="00D61FA7">
        <w:rPr>
          <w:rFonts w:asciiTheme="minorHAnsi" w:hAnsiTheme="minorHAnsi" w:cstheme="minorHAnsi"/>
          <w:i/>
          <w:iCs/>
          <w:sz w:val="22"/>
          <w:szCs w:val="22"/>
        </w:rPr>
        <w:t xml:space="preserve"> Na druhou stranu je potřeba zmínit, že v důsledku uvedené příčiny bylo těžce zraněno o 106 osob méně. Uvedenou bilanci tak lze interpretovat tak, že následky těchto nehod jsou letos pro účastníky silničního daleko závažnější</w:t>
      </w:r>
      <w:r w:rsidR="00D61FA7">
        <w:rPr>
          <w:rFonts w:asciiTheme="minorHAnsi" w:hAnsiTheme="minorHAnsi" w:cstheme="minorHAnsi"/>
          <w:i/>
          <w:iCs/>
          <w:sz w:val="22"/>
          <w:szCs w:val="22"/>
        </w:rPr>
        <w:t xml:space="preserve"> – </w:t>
      </w:r>
      <w:r w:rsidR="00D61FA7" w:rsidRPr="00A77623">
        <w:rPr>
          <w:rFonts w:asciiTheme="minorHAnsi" w:hAnsiTheme="minorHAnsi" w:cstheme="minorHAnsi"/>
          <w:b/>
          <w:bCs/>
          <w:i/>
          <w:iCs/>
          <w:sz w:val="22"/>
          <w:szCs w:val="22"/>
        </w:rPr>
        <w:t>více osob bylo naposledy usmrceno v roce 2011</w:t>
      </w:r>
      <w:r w:rsidR="00D61FA7">
        <w:rPr>
          <w:rFonts w:asciiTheme="minorHAnsi" w:hAnsiTheme="minorHAnsi" w:cstheme="minorHAnsi"/>
          <w:i/>
          <w:iCs/>
          <w:sz w:val="22"/>
          <w:szCs w:val="22"/>
        </w:rPr>
        <w:t>.“</w:t>
      </w:r>
    </w:p>
    <w:p w:rsidR="00A363EE" w:rsidRDefault="00A363EE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61FA7" w:rsidRPr="00D61FA7" w:rsidRDefault="00D61FA7" w:rsidP="00D61FA7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D61FA7">
        <w:rPr>
          <w:rFonts w:asciiTheme="minorHAnsi" w:hAnsiTheme="minorHAnsi" w:cstheme="minorHAnsi"/>
          <w:color w:val="0070C0"/>
          <w:sz w:val="28"/>
          <w:szCs w:val="28"/>
        </w:rPr>
        <w:t>Krajské srovnání</w:t>
      </w:r>
    </w:p>
    <w:p w:rsidR="00D61FA7" w:rsidRDefault="00D61FA7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Absolutně </w:t>
      </w:r>
      <w:r w:rsidRPr="00A77623">
        <w:rPr>
          <w:rFonts w:asciiTheme="minorHAnsi" w:hAnsiTheme="minorHAnsi" w:cstheme="minorHAnsi"/>
          <w:b/>
          <w:sz w:val="22"/>
          <w:szCs w:val="22"/>
        </w:rPr>
        <w:t>nejvíce</w:t>
      </w:r>
      <w:r>
        <w:rPr>
          <w:rFonts w:asciiTheme="minorHAnsi" w:hAnsiTheme="minorHAnsi" w:cstheme="minorHAnsi"/>
          <w:bCs/>
          <w:sz w:val="22"/>
          <w:szCs w:val="22"/>
        </w:rPr>
        <w:t xml:space="preserve"> osob bylo usmrceno vlivem nedání přednosti v jízdě </w:t>
      </w:r>
      <w:r w:rsidRPr="00A77623">
        <w:rPr>
          <w:rFonts w:asciiTheme="minorHAnsi" w:hAnsiTheme="minorHAnsi" w:cstheme="minorHAnsi"/>
          <w:b/>
          <w:sz w:val="22"/>
          <w:szCs w:val="22"/>
        </w:rPr>
        <w:t>v Jihomoravském kraji (15 usmrcených, 27% podíl na všech usmrcených v daném kraji), každá třetí osoba pak byla v důsledku uvedené příčiny usmrcena v Královéhradeckém (14 usmrcených) a Ústeckém kraji (32 %)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="00A77623">
        <w:rPr>
          <w:rFonts w:asciiTheme="minorHAnsi" w:hAnsiTheme="minorHAnsi" w:cstheme="minorHAnsi"/>
          <w:bCs/>
          <w:sz w:val="22"/>
          <w:szCs w:val="22"/>
        </w:rPr>
        <w:t xml:space="preserve"> Všechny tři uvedené kraje tak byly v tomto ohledu významně nad celorepublikovým průměrem</w:t>
      </w:r>
      <w:r w:rsidR="009D6084">
        <w:rPr>
          <w:rFonts w:asciiTheme="minorHAnsi" w:hAnsiTheme="minorHAnsi" w:cstheme="minorHAnsi"/>
          <w:bCs/>
          <w:sz w:val="22"/>
          <w:szCs w:val="22"/>
        </w:rPr>
        <w:t xml:space="preserve"> (18 %).</w:t>
      </w:r>
    </w:p>
    <w:p w:rsidR="00A77623" w:rsidRDefault="00A77623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D61FA7" w:rsidRDefault="00A77623" w:rsidP="005F5D9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>
            <wp:extent cx="5753735" cy="3717925"/>
            <wp:effectExtent l="0" t="0" r="0" b="0"/>
            <wp:docPr id="245" name="Obrázek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71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3B8" w:rsidRPr="003D63B8" w:rsidRDefault="00F31F0E" w:rsidP="003D63B8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>
        <w:rPr>
          <w:rFonts w:asciiTheme="minorHAnsi" w:hAnsiTheme="minorHAnsi" w:cstheme="minorHAnsi"/>
          <w:color w:val="0070C0"/>
          <w:sz w:val="28"/>
          <w:szCs w:val="28"/>
        </w:rPr>
        <w:t>Hloubková analýza dopravních nehod</w:t>
      </w:r>
    </w:p>
    <w:p w:rsidR="009D2BFC" w:rsidRDefault="00476146" w:rsidP="00BD0434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1070969</wp:posOffset>
            </wp:positionV>
            <wp:extent cx="2429510" cy="1821815"/>
            <wp:effectExtent l="0" t="0" r="8890" b="6985"/>
            <wp:wrapTight wrapText="bothSides">
              <wp:wrapPolygon edited="0">
                <wp:start x="0" y="0"/>
                <wp:lineTo x="0" y="21457"/>
                <wp:lineTo x="21510" y="21457"/>
                <wp:lineTo x="21510" y="0"/>
                <wp:lineTo x="0" y="0"/>
              </wp:wrapPolygon>
            </wp:wrapTight>
            <wp:docPr id="7169" name="Video 7169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  <a:ext uri="{C809E66F-F1BF-436E-b5F7-EEA9579F0CBA}">
                          <wp15:webVideoPr xmlns:wp15="http://schemas.microsoft.com/office/word/2012/wordprocessingDrawing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embeddedHtml="&lt;iframe id=&quot;ytplayer&quot; src=&quot;https://www.youtube.com/embed/cfVYNMe5DvA&quot; frameborder=&quot;0&quot; type=&quot;text/html&quot; width=&quot;816&quot; height=&quot;480&quot; /&gt;" h="480" w="8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9510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D2BFC">
        <w:rPr>
          <w:rFonts w:asciiTheme="minorHAnsi" w:hAnsiTheme="minorHAnsi" w:cstheme="minorHAnsi"/>
          <w:bCs/>
          <w:sz w:val="22"/>
          <w:szCs w:val="22"/>
        </w:rPr>
        <w:t>„</w:t>
      </w:r>
      <w:r w:rsidR="009D2BFC" w:rsidRPr="009D2BFC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Nedání přednosti v jízdě souvisí s celou řadou spolupůsobících faktorů: </w:t>
      </w:r>
      <w:r w:rsidR="009D2BFC" w:rsidRPr="009D2BFC">
        <w:rPr>
          <w:rFonts w:asciiTheme="minorHAnsi" w:hAnsiTheme="minorHAnsi" w:cstheme="minorHAnsi"/>
          <w:b/>
          <w:i/>
          <w:iCs/>
          <w:sz w:val="22"/>
          <w:szCs w:val="22"/>
        </w:rPr>
        <w:t>provedením dopravního prostoru</w:t>
      </w:r>
      <w:r w:rsidR="009D2BFC" w:rsidRPr="009D2BFC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– nedostatečný/omezený rozhled nebo nevhodné uspořádání křižovatek (např. křižovatky navozující psychologickou přednost), </w:t>
      </w:r>
      <w:r w:rsidR="009D2BFC" w:rsidRPr="009D2BFC">
        <w:rPr>
          <w:rFonts w:asciiTheme="minorHAnsi" w:hAnsiTheme="minorHAnsi" w:cstheme="minorHAnsi"/>
          <w:b/>
          <w:i/>
          <w:iCs/>
          <w:sz w:val="22"/>
          <w:szCs w:val="22"/>
        </w:rPr>
        <w:t>nesprávným vyhodnocením situace v provozu</w:t>
      </w:r>
      <w:r w:rsidR="009D2BFC" w:rsidRPr="009D2BFC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nebo </w:t>
      </w:r>
      <w:r w:rsidR="009D2BFC" w:rsidRPr="009D2BFC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nepozorností </w:t>
      </w:r>
      <w:r w:rsidR="009D2BFC" w:rsidRPr="009D2BFC">
        <w:rPr>
          <w:rFonts w:asciiTheme="minorHAnsi" w:hAnsiTheme="minorHAnsi" w:cstheme="minorHAnsi"/>
          <w:bCs/>
          <w:i/>
          <w:iCs/>
          <w:sz w:val="22"/>
          <w:szCs w:val="22"/>
        </w:rPr>
        <w:t>např. v důsledku zanedbání potřeby vyhledat informaci nebo přetížení pozornosti řidiče,</w:t>
      </w:r>
      <w:r w:rsidR="009D2BFC">
        <w:rPr>
          <w:rFonts w:asciiTheme="minorHAnsi" w:hAnsiTheme="minorHAnsi" w:cstheme="minorHAnsi"/>
          <w:bCs/>
          <w:sz w:val="22"/>
          <w:szCs w:val="22"/>
        </w:rPr>
        <w:t xml:space="preserve">“ </w:t>
      </w:r>
      <w:r w:rsidR="009D2BFC" w:rsidRPr="009D2BFC">
        <w:rPr>
          <w:rFonts w:asciiTheme="minorHAnsi" w:hAnsiTheme="minorHAnsi" w:cstheme="minorHAnsi"/>
          <w:bCs/>
          <w:sz w:val="22"/>
          <w:szCs w:val="22"/>
        </w:rPr>
        <w:t>uvádí Ing. Jindřich Frič, Ph.D., ředitel Centra dopravního výzkumu, v. v. i., a dodává:</w:t>
      </w:r>
      <w:r w:rsidR="009D2BFC">
        <w:rPr>
          <w:rFonts w:asciiTheme="minorHAnsi" w:hAnsiTheme="minorHAnsi" w:cstheme="minorHAnsi"/>
          <w:bCs/>
          <w:sz w:val="22"/>
          <w:szCs w:val="22"/>
        </w:rPr>
        <w:t xml:space="preserve"> „</w:t>
      </w:r>
      <w:r w:rsidR="009D2BFC" w:rsidRPr="009D2BFC">
        <w:rPr>
          <w:rFonts w:asciiTheme="minorHAnsi" w:hAnsiTheme="minorHAnsi" w:cstheme="minorHAnsi"/>
          <w:b/>
          <w:i/>
          <w:iCs/>
          <w:sz w:val="22"/>
          <w:szCs w:val="22"/>
        </w:rPr>
        <w:t>S přibývajícím věkem řidičů se zvyšuje pravděpodobnost vzniku dopravních nehod v důsledku nedání přednosti v</w:t>
      </w:r>
      <w:r w:rsidR="00CB302A">
        <w:rPr>
          <w:rFonts w:asciiTheme="minorHAnsi" w:hAnsiTheme="minorHAnsi" w:cstheme="minorHAnsi"/>
          <w:b/>
          <w:i/>
          <w:iCs/>
          <w:sz w:val="22"/>
          <w:szCs w:val="22"/>
        </w:rPr>
        <w:t> </w:t>
      </w:r>
      <w:r w:rsidR="009D2BFC" w:rsidRPr="009D2BFC">
        <w:rPr>
          <w:rFonts w:asciiTheme="minorHAnsi" w:hAnsiTheme="minorHAnsi" w:cstheme="minorHAnsi"/>
          <w:b/>
          <w:i/>
          <w:iCs/>
          <w:sz w:val="22"/>
          <w:szCs w:val="22"/>
        </w:rPr>
        <w:t>jízdě</w:t>
      </w:r>
      <w:r w:rsidR="00CB302A">
        <w:rPr>
          <w:rFonts w:asciiTheme="minorHAnsi" w:hAnsiTheme="minorHAnsi" w:cstheme="minorHAnsi"/>
          <w:b/>
          <w:i/>
          <w:iCs/>
          <w:sz w:val="22"/>
          <w:szCs w:val="22"/>
        </w:rPr>
        <w:t>.</w:t>
      </w:r>
      <w:r w:rsidR="00C33BD3">
        <w:rPr>
          <w:rFonts w:asciiTheme="minorHAnsi" w:hAnsiTheme="minorHAnsi" w:cstheme="minorHAnsi"/>
          <w:bCs/>
          <w:i/>
          <w:iCs/>
          <w:sz w:val="22"/>
          <w:szCs w:val="22"/>
        </w:rPr>
        <w:t>Tuto p</w:t>
      </w:r>
      <w:r w:rsidR="009D2BFC" w:rsidRPr="009D2BFC">
        <w:rPr>
          <w:rFonts w:asciiTheme="minorHAnsi" w:hAnsiTheme="minorHAnsi" w:cstheme="minorHAnsi"/>
          <w:bCs/>
          <w:i/>
          <w:iCs/>
          <w:sz w:val="22"/>
          <w:szCs w:val="22"/>
        </w:rPr>
        <w:t>ravděpodobnost</w:t>
      </w:r>
      <w:r w:rsidR="00C33BD3">
        <w:rPr>
          <w:rFonts w:asciiTheme="minorHAnsi" w:hAnsiTheme="minorHAnsi" w:cstheme="minorHAnsi"/>
          <w:bCs/>
          <w:i/>
          <w:iCs/>
          <w:sz w:val="22"/>
          <w:szCs w:val="22"/>
        </w:rPr>
        <w:t xml:space="preserve"> také</w:t>
      </w:r>
      <w:r w:rsidR="009D2BFC" w:rsidRPr="009D2BFC">
        <w:rPr>
          <w:rFonts w:asciiTheme="minorHAnsi" w:hAnsiTheme="minorHAnsi" w:cstheme="minorHAnsi"/>
          <w:b/>
          <w:i/>
          <w:iCs/>
          <w:sz w:val="22"/>
          <w:szCs w:val="22"/>
        </w:rPr>
        <w:t>mírně zvyšuje</w:t>
      </w:r>
      <w:r w:rsidR="00C33BD3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situace, kdy je</w:t>
      </w:r>
      <w:r w:rsidR="009D2BFC" w:rsidRPr="009D2BFC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dopravní prostor pro řidiče neznámý</w:t>
      </w:r>
      <w:r w:rsidR="009D2BFC" w:rsidRPr="009D2BFC">
        <w:rPr>
          <w:rFonts w:asciiTheme="minorHAnsi" w:hAnsiTheme="minorHAnsi" w:cstheme="minorHAnsi"/>
          <w:bCs/>
          <w:i/>
          <w:iCs/>
          <w:sz w:val="22"/>
          <w:szCs w:val="22"/>
        </w:rPr>
        <w:t>, tedy vyskytuje-li se na tomto místě poprvé nebo zde jezdí pouze ojediněle.</w:t>
      </w:r>
      <w:r w:rsidR="009D2BFC">
        <w:rPr>
          <w:rFonts w:asciiTheme="minorHAnsi" w:hAnsiTheme="minorHAnsi" w:cstheme="minorHAnsi"/>
          <w:bCs/>
          <w:sz w:val="22"/>
          <w:szCs w:val="22"/>
        </w:rPr>
        <w:t>“</w:t>
      </w:r>
    </w:p>
    <w:p w:rsidR="009D2BFC" w:rsidRDefault="009D2BFC" w:rsidP="00BD0434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9D2BFC" w:rsidRPr="009D2BFC" w:rsidRDefault="009D2BFC" w:rsidP="009D2BFC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D2BFC">
        <w:rPr>
          <w:rFonts w:asciiTheme="minorHAnsi" w:hAnsiTheme="minorHAnsi" w:cstheme="minorHAnsi"/>
          <w:bCs/>
          <w:sz w:val="22"/>
          <w:szCs w:val="22"/>
        </w:rPr>
        <w:t xml:space="preserve">Jedním z výstupů </w:t>
      </w:r>
      <w:r>
        <w:rPr>
          <w:rFonts w:asciiTheme="minorHAnsi" w:hAnsiTheme="minorHAnsi" w:cstheme="minorHAnsi"/>
          <w:bCs/>
          <w:sz w:val="22"/>
          <w:szCs w:val="22"/>
        </w:rPr>
        <w:t xml:space="preserve">Hloubkové analýzy dopravních nehod </w:t>
      </w:r>
      <w:r w:rsidRPr="009D2BFC">
        <w:rPr>
          <w:rFonts w:asciiTheme="minorHAnsi" w:hAnsiTheme="minorHAnsi" w:cstheme="minorHAnsi"/>
          <w:bCs/>
          <w:sz w:val="22"/>
          <w:szCs w:val="22"/>
        </w:rPr>
        <w:t>je simulace nehod</w:t>
      </w:r>
      <w:r>
        <w:rPr>
          <w:rFonts w:asciiTheme="minorHAnsi" w:hAnsiTheme="minorHAnsi" w:cstheme="minorHAnsi"/>
          <w:bCs/>
          <w:sz w:val="22"/>
          <w:szCs w:val="22"/>
        </w:rPr>
        <w:t>.P</w:t>
      </w:r>
      <w:r w:rsidRPr="009D2BFC">
        <w:rPr>
          <w:rFonts w:asciiTheme="minorHAnsi" w:hAnsiTheme="minorHAnsi" w:cstheme="minorHAnsi"/>
          <w:bCs/>
          <w:sz w:val="22"/>
          <w:szCs w:val="22"/>
        </w:rPr>
        <w:t>říklad dopravní nehody v důsledku nedání přednosti ilustruje následující simulace</w:t>
      </w:r>
      <w:r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Pr="009D2BFC">
        <w:rPr>
          <w:rFonts w:asciiTheme="minorHAnsi" w:hAnsiTheme="minorHAnsi" w:cstheme="minorHAnsi"/>
          <w:bCs/>
          <w:sz w:val="22"/>
          <w:szCs w:val="22"/>
        </w:rPr>
        <w:t>Nehoda se stala ve městě v prostoru rušné křižovatky</w:t>
      </w:r>
      <w:r>
        <w:rPr>
          <w:rFonts w:asciiTheme="minorHAnsi" w:hAnsiTheme="minorHAnsi" w:cstheme="minorHAnsi"/>
          <w:bCs/>
          <w:sz w:val="22"/>
          <w:szCs w:val="22"/>
        </w:rPr>
        <w:t>, ř</w:t>
      </w:r>
      <w:r w:rsidRPr="009D2BFC">
        <w:rPr>
          <w:rFonts w:asciiTheme="minorHAnsi" w:hAnsiTheme="minorHAnsi" w:cstheme="minorHAnsi"/>
          <w:bCs/>
          <w:sz w:val="22"/>
          <w:szCs w:val="22"/>
        </w:rPr>
        <w:t xml:space="preserve">idič jednoho z vozidel se v křižovatce </w:t>
      </w:r>
      <w:r>
        <w:rPr>
          <w:rFonts w:asciiTheme="minorHAnsi" w:hAnsiTheme="minorHAnsi" w:cstheme="minorHAnsi"/>
          <w:bCs/>
          <w:sz w:val="22"/>
          <w:szCs w:val="22"/>
        </w:rPr>
        <w:t>chtěl</w:t>
      </w:r>
      <w:r w:rsidRPr="009D2BFC">
        <w:rPr>
          <w:rFonts w:asciiTheme="minorHAnsi" w:hAnsiTheme="minorHAnsi" w:cstheme="minorHAnsi"/>
          <w:bCs/>
          <w:sz w:val="22"/>
          <w:szCs w:val="22"/>
        </w:rPr>
        <w:t xml:space="preserve"> otočit zpět, přitom však nedal přednost protijedoucímu vozidlu.</w:t>
      </w:r>
    </w:p>
    <w:p w:rsidR="00104111" w:rsidRDefault="00104111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76146" w:rsidRPr="003A40BF" w:rsidRDefault="00476146" w:rsidP="00476146">
      <w:pPr>
        <w:pStyle w:val="Normlnweb"/>
        <w:shd w:val="clear" w:color="auto" w:fill="FFFFFF"/>
        <w:spacing w:before="0" w:beforeAutospacing="0" w:after="165" w:afterAutospacing="0"/>
        <w:jc w:val="both"/>
        <w:rPr>
          <w:rFonts w:asciiTheme="minorHAnsi" w:hAnsiTheme="minorHAnsi" w:cstheme="minorHAnsi"/>
          <w:color w:val="0070C0"/>
          <w:sz w:val="28"/>
          <w:szCs w:val="28"/>
        </w:rPr>
      </w:pPr>
      <w:r w:rsidRPr="003A40BF">
        <w:rPr>
          <w:rFonts w:asciiTheme="minorHAnsi" w:hAnsiTheme="minorHAnsi" w:cstheme="minorHAnsi"/>
          <w:color w:val="0070C0"/>
          <w:sz w:val="28"/>
          <w:szCs w:val="28"/>
        </w:rPr>
        <w:t>Data z roku 2018</w:t>
      </w:r>
    </w:p>
    <w:p w:rsidR="00476146" w:rsidRDefault="00476146" w:rsidP="00476146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A40BF">
        <w:rPr>
          <w:rFonts w:asciiTheme="minorHAnsi" w:hAnsiTheme="minorHAnsi" w:cstheme="minorHAnsi"/>
          <w:bCs/>
          <w:sz w:val="22"/>
          <w:szCs w:val="22"/>
        </w:rPr>
        <w:t>Nejčastější příčinou usmrcení v důsledku nedání přednosti v jízdě bylo</w:t>
      </w:r>
      <w:r w:rsidRPr="003A40BF">
        <w:rPr>
          <w:rFonts w:asciiTheme="minorHAnsi" w:hAnsiTheme="minorHAnsi" w:cstheme="minorHAnsi"/>
          <w:b/>
          <w:sz w:val="22"/>
          <w:szCs w:val="22"/>
        </w:rPr>
        <w:t>nedání přednosti při odbočování vlevo, v důsledku uvedené příčiny bylo usmrceno 26 osob, tj 30 %</w:t>
      </w:r>
      <w:r w:rsidRPr="003A40BF">
        <w:rPr>
          <w:rFonts w:asciiTheme="minorHAnsi" w:hAnsiTheme="minorHAnsi" w:cstheme="minorHAnsi"/>
          <w:bCs/>
          <w:sz w:val="22"/>
          <w:szCs w:val="22"/>
        </w:rPr>
        <w:t xml:space="preserve">.S 19 usmrcenými (22% podíl) následuje nedání přednosti proti příkazu dopravní značky„DEJ PŘEDNOST V JÍZDĚ“. Třetí nejčastější příčinou bylo nedání přednosti chodci na vyznačenémpřechodu – 16 (18 %).Nejčastější příčinou těžkých zranění v důsledku nedání přednosti v jízdě bylo </w:t>
      </w:r>
      <w:r w:rsidRPr="003A40BF">
        <w:rPr>
          <w:rFonts w:asciiTheme="minorHAnsi" w:hAnsiTheme="minorHAnsi" w:cstheme="minorHAnsi"/>
          <w:b/>
          <w:sz w:val="22"/>
          <w:szCs w:val="22"/>
        </w:rPr>
        <w:t>nedání přednosti chodci na vyznačeném přechodu, v důsledku uvedené příčiny bylo těžce zraněno 193 osob, tj 28 %</w:t>
      </w:r>
      <w:r w:rsidRPr="003A40BF">
        <w:rPr>
          <w:rFonts w:asciiTheme="minorHAnsi" w:hAnsiTheme="minorHAnsi" w:cstheme="minorHAnsi"/>
          <w:bCs/>
          <w:sz w:val="22"/>
          <w:szCs w:val="22"/>
        </w:rPr>
        <w:t>.</w:t>
      </w:r>
    </w:p>
    <w:p w:rsidR="00476146" w:rsidRDefault="00476146" w:rsidP="0047614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76146" w:rsidRDefault="00476146" w:rsidP="00476146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A40B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V důsledku nedání přednosti v jízdě bylo v obci usmrceno 36 </w:t>
      </w:r>
      <w:r>
        <w:rPr>
          <w:rFonts w:asciiTheme="minorHAnsi" w:hAnsiTheme="minorHAnsi" w:cstheme="minorHAnsi"/>
          <w:bCs/>
          <w:sz w:val="22"/>
          <w:szCs w:val="22"/>
        </w:rPr>
        <w:t>a těžce zraněno 517 osob</w:t>
      </w:r>
      <w:r w:rsidRPr="003A40BF">
        <w:rPr>
          <w:rFonts w:asciiTheme="minorHAnsi" w:hAnsiTheme="minorHAnsi" w:cstheme="minorHAnsi"/>
          <w:bCs/>
          <w:sz w:val="22"/>
          <w:szCs w:val="22"/>
        </w:rPr>
        <w:t xml:space="preserve">, mimo obec pak </w:t>
      </w:r>
      <w:r>
        <w:rPr>
          <w:rFonts w:asciiTheme="minorHAnsi" w:hAnsiTheme="minorHAnsi" w:cstheme="minorHAnsi"/>
          <w:bCs/>
          <w:sz w:val="22"/>
          <w:szCs w:val="22"/>
        </w:rPr>
        <w:t xml:space="preserve">usmrceno </w:t>
      </w:r>
      <w:r w:rsidRPr="003A40BF">
        <w:rPr>
          <w:rFonts w:asciiTheme="minorHAnsi" w:hAnsiTheme="minorHAnsi" w:cstheme="minorHAnsi"/>
          <w:bCs/>
          <w:sz w:val="22"/>
          <w:szCs w:val="22"/>
        </w:rPr>
        <w:t>52 osob</w:t>
      </w:r>
      <w:r>
        <w:rPr>
          <w:rFonts w:asciiTheme="minorHAnsi" w:hAnsiTheme="minorHAnsi" w:cstheme="minorHAnsi"/>
          <w:bCs/>
          <w:sz w:val="22"/>
          <w:szCs w:val="22"/>
        </w:rPr>
        <w:t xml:space="preserve"> a 164 osob těžce zraněno. Na silnicích I. tříd bylo v uvedeném důsledku usmrceno 31 osob, těžce zraněno pak 172 osob (nejvíce ze všech druhů komunikací. </w:t>
      </w:r>
      <w:r w:rsidRPr="003A40BF">
        <w:rPr>
          <w:rFonts w:asciiTheme="minorHAnsi" w:hAnsiTheme="minorHAnsi" w:cstheme="minorHAnsi"/>
          <w:b/>
          <w:sz w:val="22"/>
          <w:szCs w:val="22"/>
        </w:rPr>
        <w:t>Nejvíce osob bylo v důsledku uvedené příčiny usmrceno na 3 ramenných křižovatkách (34) a těžce zraněno na 4 r</w:t>
      </w:r>
      <w:r>
        <w:rPr>
          <w:rFonts w:asciiTheme="minorHAnsi" w:hAnsiTheme="minorHAnsi" w:cstheme="minorHAnsi"/>
          <w:b/>
          <w:sz w:val="22"/>
          <w:szCs w:val="22"/>
        </w:rPr>
        <w:t>a</w:t>
      </w:r>
      <w:r w:rsidRPr="003A40BF">
        <w:rPr>
          <w:rFonts w:asciiTheme="minorHAnsi" w:hAnsiTheme="minorHAnsi" w:cstheme="minorHAnsi"/>
          <w:b/>
          <w:sz w:val="22"/>
          <w:szCs w:val="22"/>
        </w:rPr>
        <w:t>menných křižovatkách (233).</w:t>
      </w:r>
    </w:p>
    <w:p w:rsidR="00476146" w:rsidRDefault="00476146" w:rsidP="00476146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:rsidR="00476146" w:rsidRDefault="00476146" w:rsidP="00476146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Více než s</w:t>
      </w:r>
      <w:r w:rsidRPr="003A40BF">
        <w:rPr>
          <w:rFonts w:asciiTheme="minorHAnsi" w:hAnsiTheme="minorHAnsi" w:cstheme="minorHAnsi"/>
          <w:b/>
          <w:sz w:val="22"/>
          <w:szCs w:val="22"/>
        </w:rPr>
        <w:t>edm z deseti osob bylo v důsledku nedání přednosti v jízdě usmrceno vinou řidičů osobních vozidel, celkem 65 usmrcených osob (74 %).</w:t>
      </w:r>
      <w:r w:rsidRPr="003A40BF">
        <w:rPr>
          <w:rFonts w:asciiTheme="minorHAnsi" w:hAnsiTheme="minorHAnsi" w:cstheme="minorHAnsi"/>
          <w:bCs/>
          <w:sz w:val="22"/>
          <w:szCs w:val="22"/>
        </w:rPr>
        <w:t xml:space="preserve"> S 12 usmrcenými osobami (14 %) následují řidiči nákladníchvozidel, 4 osoby pak byly usmrceno vinou cyklistů (5 %).</w:t>
      </w:r>
      <w:r w:rsidRPr="00476146">
        <w:rPr>
          <w:rFonts w:asciiTheme="minorHAnsi" w:hAnsiTheme="minorHAnsi" w:cstheme="minorHAnsi"/>
          <w:bCs/>
          <w:sz w:val="22"/>
          <w:szCs w:val="22"/>
        </w:rPr>
        <w:t>Téměř třetina usmrcených osob (</w:t>
      </w:r>
      <w:r>
        <w:rPr>
          <w:rFonts w:asciiTheme="minorHAnsi" w:hAnsiTheme="minorHAnsi" w:cstheme="minorHAnsi"/>
          <w:bCs/>
          <w:sz w:val="22"/>
          <w:szCs w:val="22"/>
        </w:rPr>
        <w:t xml:space="preserve">27 %, </w:t>
      </w:r>
      <w:r w:rsidRPr="00476146">
        <w:rPr>
          <w:rFonts w:asciiTheme="minorHAnsi" w:hAnsiTheme="minorHAnsi" w:cstheme="minorHAnsi"/>
          <w:bCs/>
          <w:sz w:val="22"/>
          <w:szCs w:val="22"/>
        </w:rPr>
        <w:t>23 usmrcených) v důsledku nedání přednosti v jízdě byliřidiči osobního vozidla. S 24% podílem následují řidiči motocyklu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476146">
        <w:rPr>
          <w:rFonts w:asciiTheme="minorHAnsi" w:hAnsiTheme="minorHAnsi" w:cstheme="minorHAnsi"/>
          <w:bCs/>
          <w:sz w:val="22"/>
          <w:szCs w:val="22"/>
        </w:rPr>
        <w:t xml:space="preserve">chodci </w:t>
      </w:r>
      <w:r>
        <w:rPr>
          <w:rFonts w:asciiTheme="minorHAnsi" w:hAnsiTheme="minorHAnsi" w:cstheme="minorHAnsi"/>
          <w:bCs/>
          <w:sz w:val="22"/>
          <w:szCs w:val="22"/>
        </w:rPr>
        <w:t>(</w:t>
      </w:r>
      <w:r w:rsidRPr="00476146">
        <w:rPr>
          <w:rFonts w:asciiTheme="minorHAnsi" w:hAnsiTheme="minorHAnsi" w:cstheme="minorHAnsi"/>
          <w:bCs/>
          <w:sz w:val="22"/>
          <w:szCs w:val="22"/>
        </w:rPr>
        <w:t>22%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476146">
        <w:rPr>
          <w:rFonts w:asciiTheme="minorHAnsi" w:hAnsiTheme="minorHAnsi" w:cstheme="minorHAnsi"/>
          <w:bCs/>
          <w:sz w:val="22"/>
          <w:szCs w:val="22"/>
        </w:rPr>
        <w:t>19 usmrcených)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476146">
        <w:rPr>
          <w:rFonts w:asciiTheme="minorHAnsi" w:hAnsiTheme="minorHAnsi" w:cstheme="minorHAnsi"/>
          <w:bCs/>
          <w:sz w:val="22"/>
          <w:szCs w:val="22"/>
        </w:rPr>
        <w:t xml:space="preserve">spolujezdci v osobním vozidle </w:t>
      </w:r>
      <w:r>
        <w:rPr>
          <w:rFonts w:asciiTheme="minorHAnsi" w:hAnsiTheme="minorHAnsi" w:cstheme="minorHAnsi"/>
          <w:bCs/>
          <w:sz w:val="22"/>
          <w:szCs w:val="22"/>
        </w:rPr>
        <w:t>(</w:t>
      </w:r>
      <w:r w:rsidRPr="00476146">
        <w:rPr>
          <w:rFonts w:asciiTheme="minorHAnsi" w:hAnsiTheme="minorHAnsi" w:cstheme="minorHAnsi"/>
          <w:bCs/>
          <w:sz w:val="22"/>
          <w:szCs w:val="22"/>
        </w:rPr>
        <w:t>19%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476146">
        <w:rPr>
          <w:rFonts w:asciiTheme="minorHAnsi" w:hAnsiTheme="minorHAnsi" w:cstheme="minorHAnsi"/>
          <w:bCs/>
          <w:sz w:val="22"/>
          <w:szCs w:val="22"/>
        </w:rPr>
        <w:t>16 usmrcených)</w:t>
      </w:r>
      <w:r>
        <w:rPr>
          <w:rFonts w:asciiTheme="minorHAnsi" w:hAnsiTheme="minorHAnsi" w:cstheme="minorHAnsi"/>
          <w:bCs/>
          <w:sz w:val="22"/>
          <w:szCs w:val="22"/>
        </w:rPr>
        <w:t xml:space="preserve"> a cyklisté (</w:t>
      </w:r>
      <w:r w:rsidRPr="00476146">
        <w:rPr>
          <w:rFonts w:asciiTheme="minorHAnsi" w:hAnsiTheme="minorHAnsi" w:cstheme="minorHAnsi"/>
          <w:bCs/>
          <w:sz w:val="22"/>
          <w:szCs w:val="22"/>
        </w:rPr>
        <w:t>8 %</w:t>
      </w:r>
      <w:r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Pr="00476146">
        <w:rPr>
          <w:rFonts w:asciiTheme="minorHAnsi" w:hAnsiTheme="minorHAnsi" w:cstheme="minorHAnsi"/>
          <w:bCs/>
          <w:sz w:val="22"/>
          <w:szCs w:val="22"/>
        </w:rPr>
        <w:t>7 usmrcených).</w:t>
      </w:r>
    </w:p>
    <w:p w:rsidR="00476146" w:rsidRDefault="00476146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76146" w:rsidRPr="00A04976" w:rsidRDefault="00476146" w:rsidP="0093701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3701C" w:rsidRPr="0073672D" w:rsidRDefault="0093701C" w:rsidP="0093701C">
      <w:pPr>
        <w:rPr>
          <w:rFonts w:asciiTheme="minorHAnsi" w:hAnsiTheme="minorHAnsi" w:cstheme="minorHAnsi"/>
          <w:b/>
          <w:sz w:val="22"/>
          <w:szCs w:val="22"/>
        </w:rPr>
      </w:pPr>
      <w:r w:rsidRPr="0073672D">
        <w:rPr>
          <w:rFonts w:asciiTheme="minorHAnsi" w:hAnsiTheme="minorHAnsi" w:cstheme="minorHAnsi"/>
          <w:b/>
          <w:sz w:val="22"/>
          <w:szCs w:val="22"/>
        </w:rPr>
        <w:t>Mgr. Tomáš Neřold M.A.</w:t>
      </w:r>
    </w:p>
    <w:p w:rsidR="0093701C" w:rsidRPr="0073672D" w:rsidRDefault="0093701C" w:rsidP="0093701C">
      <w:pPr>
        <w:rPr>
          <w:rFonts w:asciiTheme="minorHAnsi" w:hAnsiTheme="minorHAnsi" w:cstheme="minorHAnsi"/>
          <w:sz w:val="22"/>
          <w:szCs w:val="22"/>
        </w:rPr>
      </w:pPr>
      <w:r w:rsidRPr="0073672D">
        <w:rPr>
          <w:rFonts w:asciiTheme="minorHAnsi" w:hAnsiTheme="minorHAnsi" w:cstheme="minorHAnsi"/>
          <w:sz w:val="22"/>
          <w:szCs w:val="22"/>
        </w:rPr>
        <w:t>Vedoucí Samostatného oddělení BESIP Ministerstva dopravy</w:t>
      </w:r>
    </w:p>
    <w:p w:rsidR="0093701C" w:rsidRPr="0073672D" w:rsidRDefault="0093701C" w:rsidP="0093701C">
      <w:pPr>
        <w:rPr>
          <w:rFonts w:asciiTheme="minorHAnsi" w:hAnsiTheme="minorHAnsi" w:cstheme="minorHAnsi"/>
          <w:sz w:val="22"/>
          <w:szCs w:val="22"/>
        </w:rPr>
      </w:pPr>
      <w:r w:rsidRPr="0073672D">
        <w:rPr>
          <w:rFonts w:asciiTheme="minorHAnsi" w:hAnsiTheme="minorHAnsi" w:cstheme="minorHAnsi"/>
          <w:sz w:val="22"/>
          <w:szCs w:val="22"/>
        </w:rPr>
        <w:t>+420 602 632 176</w:t>
      </w:r>
    </w:p>
    <w:p w:rsidR="00540605" w:rsidRDefault="00004D1F" w:rsidP="00B613A1">
      <w:pPr>
        <w:rPr>
          <w:rStyle w:val="Hypertextovodkaz"/>
          <w:rFonts w:asciiTheme="minorHAnsi" w:hAnsiTheme="minorHAnsi" w:cstheme="minorHAnsi"/>
          <w:color w:val="auto"/>
          <w:sz w:val="22"/>
          <w:szCs w:val="22"/>
        </w:rPr>
      </w:pPr>
      <w:hyperlink r:id="rId11" w:history="1">
        <w:r w:rsidR="0093701C" w:rsidRPr="0073672D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tomas.nerold@mdcr.cz</w:t>
        </w:r>
      </w:hyperlink>
    </w:p>
    <w:p w:rsidR="002D3979" w:rsidRDefault="002D3979" w:rsidP="00B613A1">
      <w:pPr>
        <w:rPr>
          <w:rStyle w:val="Hypertextovodkaz"/>
          <w:rFonts w:asciiTheme="minorHAnsi" w:hAnsiTheme="minorHAnsi" w:cstheme="minorHAnsi"/>
          <w:color w:val="auto"/>
          <w:sz w:val="22"/>
          <w:szCs w:val="22"/>
        </w:rPr>
      </w:pPr>
    </w:p>
    <w:p w:rsidR="00D21A86" w:rsidRPr="004D7416" w:rsidRDefault="00D21A86" w:rsidP="00D21A86">
      <w:pPr>
        <w:jc w:val="both"/>
        <w:rPr>
          <w:rFonts w:asciiTheme="minorHAnsi" w:hAnsiTheme="minorHAnsi" w:cstheme="minorHAnsi"/>
          <w:sz w:val="22"/>
          <w:szCs w:val="22"/>
        </w:rPr>
      </w:pPr>
      <w:r w:rsidRPr="004D7416">
        <w:rPr>
          <w:rFonts w:asciiTheme="minorHAnsi" w:hAnsiTheme="minorHAnsi" w:cstheme="minorHAnsi"/>
          <w:sz w:val="22"/>
          <w:szCs w:val="22"/>
        </w:rPr>
        <w:t xml:space="preserve">[1] </w:t>
      </w:r>
      <w:hyperlink r:id="rId12" w:history="1">
        <w:r w:rsidR="001F6F62" w:rsidRPr="004D741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Analýza Nedání přednosti v jízdě</w:t>
        </w:r>
      </w:hyperlink>
    </w:p>
    <w:p w:rsidR="001F6F62" w:rsidRPr="00D21A86" w:rsidRDefault="001F6F62" w:rsidP="001F6F62">
      <w:pPr>
        <w:jc w:val="both"/>
        <w:rPr>
          <w:rFonts w:asciiTheme="minorHAnsi" w:hAnsiTheme="minorHAnsi" w:cstheme="minorHAnsi"/>
          <w:sz w:val="22"/>
          <w:szCs w:val="22"/>
        </w:rPr>
      </w:pPr>
      <w:r w:rsidRPr="00D21A86">
        <w:rPr>
          <w:rFonts w:asciiTheme="minorHAnsi" w:hAnsiTheme="minorHAnsi" w:cstheme="minorHAnsi"/>
          <w:sz w:val="22"/>
          <w:szCs w:val="22"/>
        </w:rPr>
        <w:t>[</w:t>
      </w:r>
      <w:r>
        <w:rPr>
          <w:rFonts w:asciiTheme="minorHAnsi" w:hAnsiTheme="minorHAnsi" w:cstheme="minorHAnsi"/>
          <w:sz w:val="22"/>
          <w:szCs w:val="22"/>
        </w:rPr>
        <w:t>2</w:t>
      </w:r>
      <w:r w:rsidRPr="00D21A86">
        <w:rPr>
          <w:rFonts w:asciiTheme="minorHAnsi" w:hAnsiTheme="minorHAnsi" w:cstheme="minorHAnsi"/>
          <w:sz w:val="22"/>
          <w:szCs w:val="22"/>
        </w:rPr>
        <w:t xml:space="preserve">] </w:t>
      </w:r>
      <w:hyperlink r:id="rId13" w:history="1">
        <w:r w:rsidRPr="00D21A8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Národní strategie bezpečnosti silničního provozu 2011-2020 (leden-</w:t>
        </w:r>
        <w:r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říjen</w:t>
        </w:r>
        <w:r w:rsidRPr="00D21A8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 xml:space="preserve"> 2019)</w:t>
        </w:r>
      </w:hyperlink>
    </w:p>
    <w:p w:rsidR="00D21A86" w:rsidRPr="00476146" w:rsidRDefault="00D21A86" w:rsidP="00476146">
      <w:pPr>
        <w:jc w:val="both"/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</w:pPr>
      <w:r w:rsidRPr="00D21A86">
        <w:rPr>
          <w:rFonts w:asciiTheme="minorHAnsi" w:hAnsiTheme="minorHAnsi" w:cstheme="minorHAnsi"/>
          <w:sz w:val="22"/>
          <w:szCs w:val="22"/>
        </w:rPr>
        <w:t>[</w:t>
      </w:r>
      <w:r w:rsidR="00F31F0E">
        <w:rPr>
          <w:rFonts w:asciiTheme="minorHAnsi" w:hAnsiTheme="minorHAnsi" w:cstheme="minorHAnsi"/>
          <w:sz w:val="22"/>
          <w:szCs w:val="22"/>
        </w:rPr>
        <w:t>3</w:t>
      </w:r>
      <w:r w:rsidRPr="00D21A86">
        <w:rPr>
          <w:rFonts w:asciiTheme="minorHAnsi" w:hAnsiTheme="minorHAnsi" w:cstheme="minorHAnsi"/>
          <w:sz w:val="22"/>
          <w:szCs w:val="22"/>
        </w:rPr>
        <w:t>] Hloubková analýza dopravních nehod (</w:t>
      </w:r>
      <w:hyperlink r:id="rId14" w:history="1">
        <w:r w:rsidRPr="00D21A86">
          <w:rPr>
            <w:rStyle w:val="Hypertextovodkaz"/>
            <w:rFonts w:asciiTheme="minorHAnsi" w:hAnsiTheme="minorHAnsi" w:cstheme="minorHAnsi"/>
            <w:color w:val="auto"/>
            <w:sz w:val="22"/>
            <w:szCs w:val="22"/>
          </w:rPr>
          <w:t>www.vyzkumnehod.cz</w:t>
        </w:r>
      </w:hyperlink>
      <w:r w:rsidRPr="00D21A86">
        <w:rPr>
          <w:rFonts w:asciiTheme="minorHAnsi" w:hAnsiTheme="minorHAnsi" w:cstheme="minorHAnsi"/>
          <w:sz w:val="22"/>
          <w:szCs w:val="22"/>
        </w:rPr>
        <w:t xml:space="preserve">) </w:t>
      </w:r>
    </w:p>
    <w:p w:rsidR="002D3979" w:rsidRDefault="002D3979">
      <w:pPr>
        <w:spacing w:after="160" w:line="259" w:lineRule="auto"/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</w:pPr>
      <w:r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  <w:br w:type="page"/>
      </w:r>
    </w:p>
    <w:p w:rsidR="002D3979" w:rsidRPr="002D3979" w:rsidRDefault="002D3979" w:rsidP="002D3979">
      <w:pPr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</w:pPr>
      <w:r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  <w:lastRenderedPageBreak/>
        <w:t>Tabulka 1: Strategické</w:t>
      </w:r>
      <w:r w:rsidRPr="002D3979"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  <w:t xml:space="preserve"> cíle Národní strategie bezpečnosti silničního provozu</w:t>
      </w:r>
    </w:p>
    <w:p w:rsidR="002D3979" w:rsidRDefault="00F31F0E" w:rsidP="002D3979">
      <w:pPr>
        <w:rPr>
          <w:rStyle w:val="Hypertextovodkaz"/>
          <w:rFonts w:asciiTheme="minorHAnsi" w:hAnsiTheme="minorHAnsi" w:cstheme="minorHAnsi"/>
          <w:color w:val="auto"/>
          <w:sz w:val="22"/>
          <w:szCs w:val="22"/>
        </w:rPr>
      </w:pPr>
      <w:r w:rsidRPr="00115C72">
        <w:rPr>
          <w:noProof/>
        </w:rPr>
        <w:drawing>
          <wp:inline distT="0" distB="0" distL="0" distR="0">
            <wp:extent cx="5760720" cy="2672080"/>
            <wp:effectExtent l="0" t="0" r="0" b="0"/>
            <wp:docPr id="271" name="Obrázek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3979" w:rsidRDefault="002D3979" w:rsidP="00B613A1">
      <w:pPr>
        <w:rPr>
          <w:rStyle w:val="Hypertextovodkaz"/>
          <w:rFonts w:asciiTheme="minorHAnsi" w:hAnsiTheme="minorHAnsi" w:cstheme="minorHAnsi"/>
          <w:color w:val="auto"/>
          <w:sz w:val="22"/>
          <w:szCs w:val="22"/>
        </w:rPr>
      </w:pPr>
    </w:p>
    <w:p w:rsidR="002D3979" w:rsidRPr="002D3979" w:rsidRDefault="002D3979" w:rsidP="00B613A1">
      <w:pPr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</w:pPr>
      <w:r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  <w:t xml:space="preserve">Tabulka 2: </w:t>
      </w:r>
      <w:r w:rsidRPr="002D3979">
        <w:rPr>
          <w:rStyle w:val="Hypertextovodkaz"/>
          <w:rFonts w:asciiTheme="minorHAnsi" w:hAnsiTheme="minorHAnsi" w:cstheme="minorHAnsi"/>
          <w:color w:val="auto"/>
          <w:sz w:val="22"/>
          <w:szCs w:val="22"/>
          <w:u w:val="none"/>
        </w:rPr>
        <w:t>Dílčí cíle Národní strategie bezpečnosti silničního provozu</w:t>
      </w:r>
    </w:p>
    <w:p w:rsidR="00BD0434" w:rsidRDefault="00F31F0E" w:rsidP="00B613A1">
      <w:pPr>
        <w:rPr>
          <w:rStyle w:val="Hypertextovodkaz"/>
          <w:rFonts w:asciiTheme="minorHAnsi" w:hAnsiTheme="minorHAnsi" w:cstheme="minorHAnsi"/>
          <w:color w:val="auto"/>
          <w:sz w:val="22"/>
          <w:szCs w:val="22"/>
        </w:rPr>
      </w:pPr>
      <w:r w:rsidRPr="0013727D">
        <w:rPr>
          <w:noProof/>
        </w:rPr>
        <w:drawing>
          <wp:inline distT="0" distB="0" distL="0" distR="0">
            <wp:extent cx="5760720" cy="2090420"/>
            <wp:effectExtent l="0" t="0" r="0" b="5080"/>
            <wp:docPr id="264" name="Obrázek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9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434" w:rsidRDefault="00BD0434" w:rsidP="00B613A1">
      <w:pPr>
        <w:rPr>
          <w:rStyle w:val="Hypertextovodkaz"/>
          <w:rFonts w:asciiTheme="minorHAnsi" w:hAnsiTheme="minorHAnsi" w:cstheme="minorHAnsi"/>
          <w:color w:val="auto"/>
          <w:sz w:val="22"/>
          <w:szCs w:val="22"/>
        </w:rPr>
      </w:pPr>
    </w:p>
    <w:p w:rsidR="00BD0434" w:rsidRDefault="00F31F0E" w:rsidP="00B613A1">
      <w:pPr>
        <w:rPr>
          <w:rStyle w:val="Hypertextovodkaz"/>
          <w:rFonts w:asciiTheme="minorHAnsi" w:hAnsiTheme="minorHAnsi" w:cstheme="minorHAnsi"/>
          <w:color w:val="auto"/>
          <w:sz w:val="22"/>
          <w:szCs w:val="22"/>
        </w:rPr>
      </w:pPr>
      <w:r>
        <w:rPr>
          <w:rFonts w:cs="Arial"/>
          <w:noProof/>
        </w:rPr>
        <w:drawing>
          <wp:inline distT="0" distB="0" distL="0" distR="0">
            <wp:extent cx="4779034" cy="3159325"/>
            <wp:effectExtent l="0" t="0" r="2540" b="3175"/>
            <wp:docPr id="2" name="Obrázek 2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305" cy="317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0434" w:rsidSect="00004D1F">
      <w:headerReference w:type="default" r:id="rId19"/>
      <w:footerReference w:type="default" r:id="rId2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176" w:rsidRDefault="003C1176" w:rsidP="0093701C">
      <w:r>
        <w:separator/>
      </w:r>
    </w:p>
  </w:endnote>
  <w:endnote w:type="continuationSeparator" w:id="1">
    <w:p w:rsidR="003C1176" w:rsidRDefault="003C1176" w:rsidP="009370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672D" w:rsidRPr="00753260" w:rsidRDefault="0073672D" w:rsidP="0073672D">
    <w:pPr>
      <w:pStyle w:val="Zhlav"/>
      <w:rPr>
        <w:rFonts w:asciiTheme="minorHAnsi" w:hAnsiTheme="minorHAnsi" w:cstheme="minorHAnsi"/>
        <w:color w:val="FF0066"/>
      </w:rPr>
    </w:pPr>
    <w:r w:rsidRPr="00753260">
      <w:rPr>
        <w:rFonts w:asciiTheme="minorHAnsi" w:hAnsiTheme="minorHAnsi" w:cstheme="minorHAnsi"/>
        <w:color w:val="FF0066"/>
      </w:rPr>
      <w:t>BEZPEČNOST NA SILNICÍCH - PRÁVO A ZODPOVĚDNOST KAŽDÉHO Z NÁS!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Ministerstvo dopravy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Samostatné oddělení BESIP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nábřeží Ludvíka Svobody 1222/12, 110 15 Praha 1</w:t>
    </w:r>
  </w:p>
  <w:p w:rsidR="0093701C" w:rsidRPr="0073672D" w:rsidRDefault="0093701C" w:rsidP="0093701C">
    <w:pPr>
      <w:pStyle w:val="Zpat"/>
      <w:rPr>
        <w:rFonts w:ascii="Calibri" w:hAnsi="Calibri" w:cs="Calibri"/>
        <w:sz w:val="16"/>
        <w:szCs w:val="16"/>
      </w:rPr>
    </w:pPr>
    <w:r w:rsidRPr="0073672D">
      <w:rPr>
        <w:rFonts w:ascii="Calibri" w:hAnsi="Calibri" w:cs="Calibri"/>
        <w:sz w:val="16"/>
        <w:szCs w:val="16"/>
      </w:rPr>
      <w:t>+420 225 131 070, posta@mdcr.cz, www.ibesip.cz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176" w:rsidRDefault="003C1176" w:rsidP="0093701C">
      <w:r>
        <w:separator/>
      </w:r>
    </w:p>
  </w:footnote>
  <w:footnote w:type="continuationSeparator" w:id="1">
    <w:p w:rsidR="003C1176" w:rsidRDefault="003C1176" w:rsidP="009370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01C" w:rsidRPr="00FB449F" w:rsidRDefault="0093701C" w:rsidP="0093701C">
    <w:pPr>
      <w:pStyle w:val="Zhlav"/>
      <w:jc w:val="right"/>
      <w:rPr>
        <w:rFonts w:asciiTheme="minorHAnsi" w:hAnsiTheme="minorHAnsi" w:cstheme="minorHAnsi"/>
        <w:color w:val="FF0066"/>
        <w:sz w:val="28"/>
        <w:szCs w:val="28"/>
      </w:rPr>
    </w:pPr>
    <w:r w:rsidRPr="00FB449F">
      <w:rPr>
        <w:rFonts w:asciiTheme="minorHAnsi" w:hAnsiTheme="minorHAnsi" w:cstheme="minorHAnsi"/>
        <w:noProof/>
        <w:color w:val="FF0066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-802167</wp:posOffset>
          </wp:positionH>
          <wp:positionV relativeFrom="paragraph">
            <wp:posOffset>-352425</wp:posOffset>
          </wp:positionV>
          <wp:extent cx="720000" cy="720000"/>
          <wp:effectExtent l="0" t="0" r="4445" b="4445"/>
          <wp:wrapNone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BESIP - pod graf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B449F">
      <w:rPr>
        <w:rFonts w:asciiTheme="minorHAnsi" w:hAnsiTheme="minorHAnsi" w:cstheme="minorHAnsi"/>
        <w:color w:val="FF0066"/>
        <w:sz w:val="28"/>
        <w:szCs w:val="28"/>
      </w:rPr>
      <w:t>Tisková zpráva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470E0"/>
    <w:multiLevelType w:val="hybridMultilevel"/>
    <w:tmpl w:val="DCF67DB6"/>
    <w:lvl w:ilvl="0" w:tplc="4DB80DB2">
      <w:start w:val="3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726DC7"/>
    <w:multiLevelType w:val="hybridMultilevel"/>
    <w:tmpl w:val="58FC2F3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FC0841"/>
    <w:multiLevelType w:val="hybridMultilevel"/>
    <w:tmpl w:val="08E22528"/>
    <w:lvl w:ilvl="0" w:tplc="B49416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3701C"/>
    <w:rsid w:val="00004D1F"/>
    <w:rsid w:val="000520F0"/>
    <w:rsid w:val="0006233A"/>
    <w:rsid w:val="00070BDC"/>
    <w:rsid w:val="0009253D"/>
    <w:rsid w:val="00097428"/>
    <w:rsid w:val="000C2956"/>
    <w:rsid w:val="000D5306"/>
    <w:rsid w:val="000F4DA8"/>
    <w:rsid w:val="00104099"/>
    <w:rsid w:val="00104111"/>
    <w:rsid w:val="00120840"/>
    <w:rsid w:val="00161CD1"/>
    <w:rsid w:val="001647D5"/>
    <w:rsid w:val="00182609"/>
    <w:rsid w:val="00190584"/>
    <w:rsid w:val="0019544B"/>
    <w:rsid w:val="001D4711"/>
    <w:rsid w:val="001E357E"/>
    <w:rsid w:val="001F6F62"/>
    <w:rsid w:val="00205CCD"/>
    <w:rsid w:val="00212D83"/>
    <w:rsid w:val="00287BC9"/>
    <w:rsid w:val="002D3979"/>
    <w:rsid w:val="00301FAA"/>
    <w:rsid w:val="0031697E"/>
    <w:rsid w:val="00325FE4"/>
    <w:rsid w:val="00336D03"/>
    <w:rsid w:val="003412AC"/>
    <w:rsid w:val="0034539F"/>
    <w:rsid w:val="00346BB5"/>
    <w:rsid w:val="00347FCF"/>
    <w:rsid w:val="00350858"/>
    <w:rsid w:val="0036485C"/>
    <w:rsid w:val="00372EFF"/>
    <w:rsid w:val="003A40BF"/>
    <w:rsid w:val="003C1176"/>
    <w:rsid w:val="003D04DA"/>
    <w:rsid w:val="003D1A0C"/>
    <w:rsid w:val="003D63B8"/>
    <w:rsid w:val="003F6AC8"/>
    <w:rsid w:val="00407371"/>
    <w:rsid w:val="00476146"/>
    <w:rsid w:val="004A5115"/>
    <w:rsid w:val="004B32F9"/>
    <w:rsid w:val="004C1D1F"/>
    <w:rsid w:val="004D7416"/>
    <w:rsid w:val="004E06DC"/>
    <w:rsid w:val="0051312D"/>
    <w:rsid w:val="005367C7"/>
    <w:rsid w:val="00540605"/>
    <w:rsid w:val="00582E93"/>
    <w:rsid w:val="005C17D8"/>
    <w:rsid w:val="005F5D97"/>
    <w:rsid w:val="00607C46"/>
    <w:rsid w:val="00655E92"/>
    <w:rsid w:val="00662B04"/>
    <w:rsid w:val="00692262"/>
    <w:rsid w:val="0069617E"/>
    <w:rsid w:val="006C5B7B"/>
    <w:rsid w:val="006C6D05"/>
    <w:rsid w:val="006D5CA4"/>
    <w:rsid w:val="006D7E0B"/>
    <w:rsid w:val="006F3C2A"/>
    <w:rsid w:val="006F5F53"/>
    <w:rsid w:val="0070428F"/>
    <w:rsid w:val="00707882"/>
    <w:rsid w:val="007150E5"/>
    <w:rsid w:val="0073672D"/>
    <w:rsid w:val="0075179A"/>
    <w:rsid w:val="00753260"/>
    <w:rsid w:val="00756AF3"/>
    <w:rsid w:val="00763BDE"/>
    <w:rsid w:val="007C265E"/>
    <w:rsid w:val="007F46BF"/>
    <w:rsid w:val="007F64B3"/>
    <w:rsid w:val="0083728E"/>
    <w:rsid w:val="0086419B"/>
    <w:rsid w:val="00885510"/>
    <w:rsid w:val="00887BC7"/>
    <w:rsid w:val="008C4892"/>
    <w:rsid w:val="00900EC9"/>
    <w:rsid w:val="009122D3"/>
    <w:rsid w:val="009204C9"/>
    <w:rsid w:val="009210D8"/>
    <w:rsid w:val="00922C2D"/>
    <w:rsid w:val="0093701C"/>
    <w:rsid w:val="009425B0"/>
    <w:rsid w:val="00953E09"/>
    <w:rsid w:val="009A31A6"/>
    <w:rsid w:val="009C0236"/>
    <w:rsid w:val="009C129D"/>
    <w:rsid w:val="009C1CF2"/>
    <w:rsid w:val="009C6053"/>
    <w:rsid w:val="009D2BFC"/>
    <w:rsid w:val="009D6084"/>
    <w:rsid w:val="00A01AAF"/>
    <w:rsid w:val="00A03140"/>
    <w:rsid w:val="00A04976"/>
    <w:rsid w:val="00A04E99"/>
    <w:rsid w:val="00A210DF"/>
    <w:rsid w:val="00A363EE"/>
    <w:rsid w:val="00A370A9"/>
    <w:rsid w:val="00A45114"/>
    <w:rsid w:val="00A77623"/>
    <w:rsid w:val="00AF4EC0"/>
    <w:rsid w:val="00B02263"/>
    <w:rsid w:val="00B613A1"/>
    <w:rsid w:val="00B93E47"/>
    <w:rsid w:val="00BD0434"/>
    <w:rsid w:val="00BE3856"/>
    <w:rsid w:val="00BF5DA9"/>
    <w:rsid w:val="00C02869"/>
    <w:rsid w:val="00C24BC5"/>
    <w:rsid w:val="00C33BD3"/>
    <w:rsid w:val="00C628BB"/>
    <w:rsid w:val="00C752CA"/>
    <w:rsid w:val="00CA29B5"/>
    <w:rsid w:val="00CB27A5"/>
    <w:rsid w:val="00CB302A"/>
    <w:rsid w:val="00CB5362"/>
    <w:rsid w:val="00CB57F2"/>
    <w:rsid w:val="00CD516D"/>
    <w:rsid w:val="00CE4B68"/>
    <w:rsid w:val="00CF7574"/>
    <w:rsid w:val="00D17350"/>
    <w:rsid w:val="00D20D6F"/>
    <w:rsid w:val="00D21A86"/>
    <w:rsid w:val="00D26C91"/>
    <w:rsid w:val="00D33911"/>
    <w:rsid w:val="00D34E6C"/>
    <w:rsid w:val="00D52EA0"/>
    <w:rsid w:val="00D53478"/>
    <w:rsid w:val="00D61FA7"/>
    <w:rsid w:val="00D723F1"/>
    <w:rsid w:val="00D946B3"/>
    <w:rsid w:val="00DC1505"/>
    <w:rsid w:val="00E12E47"/>
    <w:rsid w:val="00E44EF4"/>
    <w:rsid w:val="00E740C3"/>
    <w:rsid w:val="00E77585"/>
    <w:rsid w:val="00E84DE7"/>
    <w:rsid w:val="00E963BE"/>
    <w:rsid w:val="00EA5794"/>
    <w:rsid w:val="00EB48BE"/>
    <w:rsid w:val="00EE6F77"/>
    <w:rsid w:val="00EF264F"/>
    <w:rsid w:val="00F31F0E"/>
    <w:rsid w:val="00F364AC"/>
    <w:rsid w:val="00F37A82"/>
    <w:rsid w:val="00F42D1F"/>
    <w:rsid w:val="00F77803"/>
    <w:rsid w:val="00FA44FF"/>
    <w:rsid w:val="00FB449F"/>
    <w:rsid w:val="00FC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70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C1D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82E9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93701C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3701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701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uiPriority w:val="99"/>
    <w:rsid w:val="0093701C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582E93"/>
    <w:rPr>
      <w:rFonts w:asciiTheme="majorHAnsi" w:eastAsiaTheme="majorEastAsia" w:hAnsiTheme="majorHAnsi" w:cstheme="majorBidi"/>
      <w:b/>
      <w:bCs/>
      <w:color w:val="5B9BD5" w:themeColor="accent1"/>
      <w:lang w:eastAsia="cs-CZ"/>
    </w:rPr>
  </w:style>
  <w:style w:type="table" w:styleId="Mkatabulky">
    <w:name w:val="Table Grid"/>
    <w:basedOn w:val="Normlntabulka"/>
    <w:uiPriority w:val="59"/>
    <w:rsid w:val="00582E93"/>
    <w:pPr>
      <w:spacing w:after="0" w:line="240" w:lineRule="auto"/>
    </w:pPr>
    <w:rPr>
      <w:rFonts w:eastAsiaTheme="minorEastAsia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CB536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265E"/>
    <w:rPr>
      <w:rFonts w:ascii="Tahoma" w:eastAsiaTheme="minorEastAsi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265E"/>
    <w:rPr>
      <w:rFonts w:ascii="Tahoma" w:eastAsiaTheme="minorEastAsia" w:hAnsi="Tahoma" w:cs="Tahoma"/>
      <w:sz w:val="16"/>
      <w:szCs w:val="16"/>
      <w:lang w:eastAsia="cs-CZ"/>
    </w:rPr>
  </w:style>
  <w:style w:type="character" w:customStyle="1" w:styleId="Nadpis1Char">
    <w:name w:val="Nadpis 1 Char"/>
    <w:basedOn w:val="Standardnpsmoodstavce"/>
    <w:link w:val="Nadpis1"/>
    <w:rsid w:val="004C1D1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A29B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ibesip.cz/Statistiky/Statistiky-nehodovosti-v-Ceske-republice/Dopravni-nehodovost-v-roce-2019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ibesip.cz/getattachment/Statistiky/Statistiky-nehodovosti-v-Ceske-republice/Dopravni-nehodovost-v-roce-2019/Nedani-prednosti-v-jizde/Nedani-prednosti-v-jizde_2.pdf" TargetMode="External"/><Relationship Id="rId17" Type="http://schemas.openxmlformats.org/officeDocument/2006/relationships/hyperlink" Target="https://nehody.cdv.cz/statistics.php?h=dw" TargetMode="External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tomas.nerold@mdcr.cz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emf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fVYNMe5DvA" TargetMode="External"/><Relationship Id="rId14" Type="http://schemas.openxmlformats.org/officeDocument/2006/relationships/hyperlink" Target="http://www.vyzkumnehod.cz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710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CDV</Company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Kadula</dc:creator>
  <cp:lastModifiedBy>motor</cp:lastModifiedBy>
  <cp:revision>7</cp:revision>
  <dcterms:created xsi:type="dcterms:W3CDTF">2019-11-11T14:12:00Z</dcterms:created>
  <dcterms:modified xsi:type="dcterms:W3CDTF">2019-11-12T22:56:00Z</dcterms:modified>
</cp:coreProperties>
</file>