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DE7" w:rsidRDefault="00E84DE7" w:rsidP="0093701C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</w:pPr>
      <w:r w:rsidRPr="00E84DE7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Pětinový nárůst srážek s vlakem na železničních přejezdech</w:t>
      </w:r>
      <w:r w:rsidR="00EF264F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 xml:space="preserve"> - j</w:t>
      </w:r>
      <w:r w:rsidR="00190584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ak řešit krizové situace?</w:t>
      </w:r>
    </w:p>
    <w:p w:rsidR="0093701C" w:rsidRPr="0093701C" w:rsidRDefault="00E84DE7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30</w:t>
      </w:r>
      <w:r w:rsidR="0093701C" w:rsidRPr="0093701C">
        <w:rPr>
          <w:rFonts w:asciiTheme="minorHAnsi" w:hAnsiTheme="minorHAnsi" w:cstheme="minorHAnsi"/>
          <w:i/>
          <w:sz w:val="22"/>
          <w:szCs w:val="22"/>
        </w:rPr>
        <w:t>. července 2019, Praha</w:t>
      </w:r>
    </w:p>
    <w:p w:rsidR="0093701C" w:rsidRPr="0093701C" w:rsidRDefault="0093701C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84DE7" w:rsidRDefault="00A04E99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 období leden-červen 2019 </w:t>
      </w:r>
      <w:r w:rsidRPr="00A04E99">
        <w:rPr>
          <w:rFonts w:asciiTheme="minorHAnsi" w:hAnsiTheme="minorHAnsi" w:cstheme="minorHAnsi"/>
          <w:b/>
          <w:sz w:val="22"/>
          <w:szCs w:val="22"/>
        </w:rPr>
        <w:t xml:space="preserve">bylo </w:t>
      </w:r>
      <w:r w:rsidR="001E357E" w:rsidRPr="001E357E">
        <w:rPr>
          <w:rFonts w:asciiTheme="minorHAnsi" w:hAnsiTheme="minorHAnsi" w:cstheme="minorHAnsi"/>
          <w:b/>
          <w:sz w:val="22"/>
          <w:szCs w:val="22"/>
        </w:rPr>
        <w:t>při srážkách s vlakem na želez</w:t>
      </w:r>
      <w:r w:rsidR="001E357E">
        <w:rPr>
          <w:rFonts w:asciiTheme="minorHAnsi" w:hAnsiTheme="minorHAnsi" w:cstheme="minorHAnsi"/>
          <w:b/>
          <w:sz w:val="22"/>
          <w:szCs w:val="22"/>
        </w:rPr>
        <w:t>ničních přejezdech evidováno 84 </w:t>
      </w:r>
      <w:r w:rsidR="001E357E" w:rsidRPr="001E357E">
        <w:rPr>
          <w:rFonts w:asciiTheme="minorHAnsi" w:hAnsiTheme="minorHAnsi" w:cstheme="minorHAnsi"/>
          <w:b/>
          <w:sz w:val="22"/>
          <w:szCs w:val="22"/>
        </w:rPr>
        <w:t>nehod (meziročně o 14 více, tj. +20 %)</w:t>
      </w:r>
      <w:r w:rsidR="001E357E" w:rsidRPr="001E357E">
        <w:rPr>
          <w:rFonts w:asciiTheme="minorHAnsi" w:hAnsiTheme="minorHAnsi" w:cstheme="minorHAnsi"/>
          <w:sz w:val="22"/>
          <w:szCs w:val="22"/>
        </w:rPr>
        <w:t xml:space="preserve">, při kterých bylo 5 osob usmrceno (meziročně o </w:t>
      </w:r>
      <w:r w:rsidR="009C6053">
        <w:rPr>
          <w:rFonts w:asciiTheme="minorHAnsi" w:hAnsiTheme="minorHAnsi" w:cstheme="minorHAnsi"/>
          <w:sz w:val="22"/>
          <w:szCs w:val="22"/>
        </w:rPr>
        <w:t>3 méně, tj. </w:t>
      </w:r>
      <w:r w:rsidR="001E357E" w:rsidRPr="001E357E">
        <w:rPr>
          <w:rFonts w:asciiTheme="minorHAnsi" w:hAnsiTheme="minorHAnsi" w:cstheme="minorHAnsi"/>
          <w:sz w:val="22"/>
          <w:szCs w:val="22"/>
        </w:rPr>
        <w:t>-38 %), 6 těžce (meziročně o 1 méně, tj. -14 %) a 22 lehce zraněno (meziročně o 1 méně, tj. -4 %).</w:t>
      </w:r>
    </w:p>
    <w:p w:rsidR="00CB5362" w:rsidRDefault="00CB5362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B5362" w:rsidRPr="00582E93" w:rsidRDefault="00CB5362" w:rsidP="00CB5362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582E93">
        <w:rPr>
          <w:rFonts w:asciiTheme="minorHAnsi" w:hAnsiTheme="minorHAnsi" w:cstheme="minorHAnsi"/>
          <w:color w:val="2E74B5" w:themeColor="accent1" w:themeShade="BF"/>
        </w:rPr>
        <w:t>Řešení krizových situací na železničních přejezdech</w:t>
      </w:r>
    </w:p>
    <w:p w:rsidR="00CB5362" w:rsidRDefault="00104111" w:rsidP="00CB536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2386330</wp:posOffset>
            </wp:positionH>
            <wp:positionV relativeFrom="paragraph">
              <wp:posOffset>71120</wp:posOffset>
            </wp:positionV>
            <wp:extent cx="3380105" cy="1901190"/>
            <wp:effectExtent l="0" t="0" r="0" b="3810"/>
            <wp:wrapTight wrapText="bothSides">
              <wp:wrapPolygon edited="0">
                <wp:start x="0" y="0"/>
                <wp:lineTo x="0" y="21427"/>
                <wp:lineTo x="21426" y="21427"/>
                <wp:lineTo x="21426" y="0"/>
                <wp:lineTo x="0" y="0"/>
              </wp:wrapPolygon>
            </wp:wrapTight>
            <wp:docPr id="1" name="Obrázek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B5362">
        <w:rPr>
          <w:rFonts w:asciiTheme="minorHAnsi" w:hAnsiTheme="minorHAnsi" w:cstheme="minorHAnsi"/>
          <w:sz w:val="22"/>
          <w:szCs w:val="22"/>
        </w:rPr>
        <w:t>„</w:t>
      </w:r>
      <w:r w:rsidR="009425B0" w:rsidRPr="00104111">
        <w:rPr>
          <w:rFonts w:asciiTheme="minorHAnsi" w:hAnsiTheme="minorHAnsi" w:cstheme="minorHAnsi"/>
          <w:i/>
          <w:sz w:val="22"/>
          <w:szCs w:val="22"/>
        </w:rPr>
        <w:t>Na základě analýz</w:t>
      </w:r>
      <w:r w:rsidR="00CB57F2">
        <w:rPr>
          <w:rFonts w:asciiTheme="minorHAnsi" w:hAnsiTheme="minorHAnsi" w:cstheme="minorHAnsi"/>
          <w:i/>
          <w:sz w:val="22"/>
          <w:szCs w:val="22"/>
        </w:rPr>
        <w:t xml:space="preserve"> nehodovosti a </w:t>
      </w:r>
      <w:r w:rsidR="00CB5362" w:rsidRPr="00104111">
        <w:rPr>
          <w:rFonts w:asciiTheme="minorHAnsi" w:hAnsiTheme="minorHAnsi" w:cstheme="minorHAnsi"/>
          <w:i/>
          <w:sz w:val="22"/>
          <w:szCs w:val="22"/>
        </w:rPr>
        <w:t xml:space="preserve">dosavadních znalostí byly vytvořeny </w:t>
      </w:r>
      <w:r w:rsidR="00CB5362" w:rsidRPr="00104111">
        <w:rPr>
          <w:rFonts w:asciiTheme="minorHAnsi" w:hAnsiTheme="minorHAnsi" w:cstheme="minorHAnsi"/>
          <w:b/>
          <w:i/>
          <w:sz w:val="22"/>
          <w:szCs w:val="22"/>
        </w:rPr>
        <w:t>krátké filmové spoty, které se zaměřily na nejčastější rizika a předcházení krizovým situacím, případně jejich řešení, na železničních přejezdech</w:t>
      </w:r>
      <w:r w:rsidR="00CB5362" w:rsidRPr="00104111">
        <w:rPr>
          <w:rFonts w:asciiTheme="minorHAnsi" w:hAnsiTheme="minorHAnsi" w:cstheme="minorHAnsi"/>
          <w:i/>
          <w:sz w:val="22"/>
          <w:szCs w:val="22"/>
        </w:rPr>
        <w:t>,</w:t>
      </w:r>
      <w:r w:rsidR="00CB5362">
        <w:rPr>
          <w:rFonts w:asciiTheme="minorHAnsi" w:hAnsiTheme="minorHAnsi" w:cstheme="minorHAnsi"/>
          <w:sz w:val="22"/>
          <w:szCs w:val="22"/>
        </w:rPr>
        <w:t>“</w:t>
      </w:r>
      <w:r w:rsidR="00CB5362" w:rsidRPr="00582E93">
        <w:rPr>
          <w:rFonts w:asciiTheme="minorHAnsi" w:hAnsiTheme="minorHAnsi" w:cstheme="minorHAnsi"/>
          <w:sz w:val="22"/>
          <w:szCs w:val="22"/>
        </w:rPr>
        <w:t xml:space="preserve"> </w:t>
      </w:r>
      <w:r w:rsidR="00CB5362">
        <w:rPr>
          <w:rFonts w:asciiTheme="minorHAnsi" w:hAnsiTheme="minorHAnsi" w:cstheme="minorHAnsi"/>
          <w:sz w:val="22"/>
          <w:szCs w:val="22"/>
        </w:rPr>
        <w:t xml:space="preserve">říká Mgr. Tomáš </w:t>
      </w:r>
      <w:proofErr w:type="spellStart"/>
      <w:r w:rsidR="00CB5362">
        <w:rPr>
          <w:rFonts w:asciiTheme="minorHAnsi" w:hAnsiTheme="minorHAnsi" w:cstheme="minorHAnsi"/>
          <w:sz w:val="22"/>
          <w:szCs w:val="22"/>
        </w:rPr>
        <w:t>Neřold</w:t>
      </w:r>
      <w:proofErr w:type="spellEnd"/>
      <w:r w:rsidR="00CB5362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CB5362">
        <w:rPr>
          <w:rFonts w:asciiTheme="minorHAnsi" w:hAnsiTheme="minorHAnsi" w:cstheme="minorHAnsi"/>
          <w:sz w:val="22"/>
          <w:szCs w:val="22"/>
        </w:rPr>
        <w:t>M.A.</w:t>
      </w:r>
      <w:proofErr w:type="gramEnd"/>
      <w:r w:rsidR="00CB5362">
        <w:rPr>
          <w:rFonts w:asciiTheme="minorHAnsi" w:hAnsiTheme="minorHAnsi" w:cstheme="minorHAnsi"/>
          <w:sz w:val="22"/>
          <w:szCs w:val="22"/>
        </w:rPr>
        <w:t>, vedoucí Samostatného oddělení BESIP Ministerstva dopravy a dodává: „</w:t>
      </w:r>
      <w:r w:rsidR="00CB5362" w:rsidRPr="00104111">
        <w:rPr>
          <w:rFonts w:asciiTheme="minorHAnsi" w:hAnsiTheme="minorHAnsi" w:cstheme="minorHAnsi"/>
          <w:i/>
          <w:sz w:val="22"/>
          <w:szCs w:val="22"/>
        </w:rPr>
        <w:t>Videa jsou zaměřena především na cílovou skupinu profesionálních řidičů a problémy typické pro tuto skupinu</w:t>
      </w:r>
      <w:r w:rsidRPr="00104111">
        <w:rPr>
          <w:rFonts w:asciiTheme="minorHAnsi" w:hAnsiTheme="minorHAnsi" w:cstheme="minorHAnsi"/>
          <w:i/>
          <w:sz w:val="22"/>
          <w:szCs w:val="22"/>
        </w:rPr>
        <w:t>, většinu případů však lze zobecnit na všechny řidiče</w:t>
      </w:r>
      <w:r w:rsidR="00CB5362" w:rsidRPr="00104111">
        <w:rPr>
          <w:rFonts w:asciiTheme="minorHAnsi" w:hAnsiTheme="minorHAnsi" w:cstheme="minorHAnsi"/>
          <w:i/>
          <w:sz w:val="22"/>
          <w:szCs w:val="22"/>
        </w:rPr>
        <w:t>.</w:t>
      </w:r>
      <w:r w:rsidR="00D26C91">
        <w:rPr>
          <w:rFonts w:asciiTheme="minorHAnsi" w:hAnsiTheme="minorHAnsi" w:cstheme="minorHAnsi"/>
          <w:i/>
          <w:sz w:val="22"/>
          <w:szCs w:val="22"/>
        </w:rPr>
        <w:t xml:space="preserve"> Například</w:t>
      </w:r>
      <w:r w:rsidRPr="00104111">
        <w:rPr>
          <w:rFonts w:asciiTheme="minorHAnsi" w:hAnsiTheme="minorHAnsi" w:cstheme="minorHAnsi"/>
          <w:i/>
          <w:sz w:val="22"/>
          <w:szCs w:val="22"/>
        </w:rPr>
        <w:t xml:space="preserve"> v klipu </w:t>
      </w:r>
      <w:r>
        <w:rPr>
          <w:rFonts w:asciiTheme="minorHAnsi" w:hAnsiTheme="minorHAnsi" w:cstheme="minorHAnsi"/>
          <w:i/>
          <w:sz w:val="22"/>
          <w:szCs w:val="22"/>
        </w:rPr>
        <w:t>„</w:t>
      </w:r>
      <w:r w:rsidRPr="00104111">
        <w:rPr>
          <w:rFonts w:asciiTheme="minorHAnsi" w:hAnsiTheme="minorHAnsi" w:cstheme="minorHAnsi"/>
          <w:i/>
          <w:sz w:val="22"/>
          <w:szCs w:val="22"/>
        </w:rPr>
        <w:t>Odjeď pryč</w:t>
      </w:r>
      <w:r>
        <w:rPr>
          <w:rFonts w:asciiTheme="minorHAnsi" w:hAnsiTheme="minorHAnsi" w:cstheme="minorHAnsi"/>
          <w:i/>
          <w:sz w:val="22"/>
          <w:szCs w:val="22"/>
        </w:rPr>
        <w:t>“</w:t>
      </w:r>
      <w:r w:rsidRPr="00104111">
        <w:rPr>
          <w:rFonts w:asciiTheme="minorHAnsi" w:hAnsiTheme="minorHAnsi" w:cstheme="minorHAnsi"/>
          <w:i/>
          <w:sz w:val="22"/>
          <w:szCs w:val="22"/>
        </w:rPr>
        <w:t xml:space="preserve"> je reálná ukázka jak osobní automobil </w:t>
      </w:r>
      <w:r>
        <w:rPr>
          <w:rFonts w:asciiTheme="minorHAnsi" w:hAnsiTheme="minorHAnsi" w:cstheme="minorHAnsi"/>
          <w:i/>
          <w:sz w:val="22"/>
          <w:szCs w:val="22"/>
        </w:rPr>
        <w:t>podjede závoru</w:t>
      </w:r>
      <w:r w:rsidRPr="00104111">
        <w:rPr>
          <w:rFonts w:asciiTheme="minorHAnsi" w:hAnsiTheme="minorHAnsi" w:cstheme="minorHAnsi"/>
          <w:i/>
          <w:sz w:val="22"/>
          <w:szCs w:val="22"/>
        </w:rPr>
        <w:t xml:space="preserve"> prakticky bez poškození.</w:t>
      </w:r>
      <w:r w:rsidR="00CB5362">
        <w:rPr>
          <w:rFonts w:asciiTheme="minorHAnsi" w:hAnsiTheme="minorHAnsi" w:cstheme="minorHAnsi"/>
          <w:sz w:val="22"/>
          <w:szCs w:val="22"/>
        </w:rPr>
        <w:t>“</w:t>
      </w:r>
    </w:p>
    <w:p w:rsidR="00CB5362" w:rsidRDefault="00CB5362" w:rsidP="00CB536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B5362" w:rsidRDefault="00CB5362" w:rsidP="00CB5362">
      <w:pPr>
        <w:jc w:val="both"/>
        <w:rPr>
          <w:rFonts w:asciiTheme="minorHAnsi" w:hAnsiTheme="minorHAnsi" w:cstheme="minorHAnsi"/>
          <w:sz w:val="22"/>
          <w:szCs w:val="22"/>
        </w:rPr>
      </w:pPr>
      <w:r w:rsidRPr="00582E93">
        <w:rPr>
          <w:rFonts w:asciiTheme="minorHAnsi" w:hAnsiTheme="minorHAnsi" w:cstheme="minorHAnsi"/>
          <w:sz w:val="22"/>
          <w:szCs w:val="22"/>
        </w:rPr>
        <w:t>Spoty popisují vybrané krizové situace na železničních přejez</w:t>
      </w:r>
      <w:r>
        <w:rPr>
          <w:rFonts w:asciiTheme="minorHAnsi" w:hAnsiTheme="minorHAnsi" w:cstheme="minorHAnsi"/>
          <w:sz w:val="22"/>
          <w:szCs w:val="22"/>
        </w:rPr>
        <w:t>dech s návodem na jejich řešení:</w:t>
      </w:r>
    </w:p>
    <w:p w:rsidR="00CB5362" w:rsidRDefault="00CB5362" w:rsidP="00CB536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B5362">
        <w:rPr>
          <w:rFonts w:asciiTheme="minorHAnsi" w:hAnsiTheme="minorHAnsi" w:cstheme="minorHAnsi"/>
          <w:b/>
          <w:sz w:val="22"/>
          <w:szCs w:val="22"/>
        </w:rPr>
        <w:t>Závory klamou</w:t>
      </w:r>
      <w:r w:rsidRPr="00CB5362">
        <w:rPr>
          <w:rFonts w:asciiTheme="minorHAnsi" w:hAnsiTheme="minorHAnsi" w:cstheme="minorHAnsi"/>
          <w:sz w:val="22"/>
          <w:szCs w:val="22"/>
        </w:rPr>
        <w:t>, riziko předčasného vjezdu na přejezd ve výstraze</w:t>
      </w:r>
    </w:p>
    <w:p w:rsidR="00CB5362" w:rsidRDefault="00CB5362" w:rsidP="00CB536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B5362">
        <w:rPr>
          <w:rFonts w:asciiTheme="minorHAnsi" w:hAnsiTheme="minorHAnsi" w:cstheme="minorHAnsi"/>
          <w:b/>
          <w:sz w:val="22"/>
          <w:szCs w:val="22"/>
        </w:rPr>
        <w:t>Odjeď pryč</w:t>
      </w:r>
      <w:r w:rsidRPr="00CB5362">
        <w:rPr>
          <w:rFonts w:asciiTheme="minorHAnsi" w:hAnsiTheme="minorHAnsi" w:cstheme="minorHAnsi"/>
          <w:sz w:val="22"/>
          <w:szCs w:val="22"/>
        </w:rPr>
        <w:t>, řešení v případě uzavření mezi závorami</w:t>
      </w:r>
    </w:p>
    <w:p w:rsidR="00CB5362" w:rsidRDefault="00CB5362" w:rsidP="00CB536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B5362">
        <w:rPr>
          <w:rFonts w:asciiTheme="minorHAnsi" w:hAnsiTheme="minorHAnsi" w:cstheme="minorHAnsi"/>
          <w:b/>
          <w:sz w:val="22"/>
          <w:szCs w:val="22"/>
        </w:rPr>
        <w:t>Neztrácej čas</w:t>
      </w:r>
      <w:r w:rsidRPr="00CB5362">
        <w:rPr>
          <w:rFonts w:asciiTheme="minorHAnsi" w:hAnsiTheme="minorHAnsi" w:cstheme="minorHAnsi"/>
          <w:sz w:val="22"/>
          <w:szCs w:val="22"/>
        </w:rPr>
        <w:t>, řešení v případě uváznutí vozidla v prostoru přejezdu, číslo přejezdu, provedení návěsti „Stůj, zatavte všemi prostředky“</w:t>
      </w:r>
    </w:p>
    <w:p w:rsidR="00CB5362" w:rsidRPr="00CB5362" w:rsidRDefault="00CB5362" w:rsidP="00CB536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B5362">
        <w:rPr>
          <w:rFonts w:asciiTheme="minorHAnsi" w:hAnsiTheme="minorHAnsi" w:cstheme="minorHAnsi"/>
          <w:b/>
          <w:sz w:val="22"/>
          <w:szCs w:val="22"/>
        </w:rPr>
        <w:t>Není místo</w:t>
      </w:r>
      <w:r w:rsidRPr="00CB5362">
        <w:rPr>
          <w:rFonts w:asciiTheme="minorHAnsi" w:hAnsiTheme="minorHAnsi" w:cstheme="minorHAnsi"/>
          <w:sz w:val="22"/>
          <w:szCs w:val="22"/>
        </w:rPr>
        <w:t>, rizika na zúženém nebo krátkém přejezdu</w:t>
      </w:r>
    </w:p>
    <w:p w:rsidR="00CB5362" w:rsidRDefault="00CB5362" w:rsidP="00CB536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B5362" w:rsidRPr="00582E93" w:rsidTr="00CB5362">
        <w:tc>
          <w:tcPr>
            <w:tcW w:w="2265" w:type="dxa"/>
          </w:tcPr>
          <w:p w:rsidR="00CB5362" w:rsidRPr="00582E93" w:rsidRDefault="00CB5362" w:rsidP="00CB53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2E9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C623EBC" wp14:editId="500D70DD">
                  <wp:extent cx="1296000" cy="972000"/>
                  <wp:effectExtent l="0" t="0" r="0" b="0"/>
                  <wp:docPr id="101" name="Video 10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VtGCZl_TCH8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:rsidR="00CB5362" w:rsidRPr="00582E93" w:rsidRDefault="00CB5362" w:rsidP="00CB53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2E9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EAF9B76" wp14:editId="21EBDB28">
                  <wp:extent cx="1296000" cy="972000"/>
                  <wp:effectExtent l="0" t="0" r="0" b="0"/>
                  <wp:docPr id="102" name="Video 10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uvOcuLpQ7l4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CB5362" w:rsidRPr="00582E93" w:rsidRDefault="00CB5362" w:rsidP="00D025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2E9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0434679" wp14:editId="5FF391F5">
                  <wp:extent cx="1296000" cy="972000"/>
                  <wp:effectExtent l="0" t="0" r="0" b="0"/>
                  <wp:docPr id="100" name="Video 10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T3XFYZlavSM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CB5362" w:rsidRPr="00582E93" w:rsidRDefault="00CB5362" w:rsidP="00D025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2E9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1E33438A" wp14:editId="2FB2CF50">
                  <wp:extent cx="1296000" cy="972000"/>
                  <wp:effectExtent l="0" t="0" r="0" b="0"/>
                  <wp:docPr id="2" name="Video 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mftEmbf-YLE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5362" w:rsidRDefault="00CB5362" w:rsidP="00CB536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357E" w:rsidRPr="001E357E" w:rsidRDefault="001E357E" w:rsidP="001E357E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1E357E">
        <w:rPr>
          <w:rFonts w:asciiTheme="minorHAnsi" w:hAnsiTheme="minorHAnsi" w:cstheme="minorHAnsi"/>
          <w:color w:val="2E74B5" w:themeColor="accent1" w:themeShade="BF"/>
        </w:rPr>
        <w:t>Bilance roku 2018</w:t>
      </w:r>
    </w:p>
    <w:p w:rsidR="009C6053" w:rsidRDefault="009C6053" w:rsidP="001E357E">
      <w:pPr>
        <w:jc w:val="both"/>
        <w:rPr>
          <w:rFonts w:asciiTheme="minorHAnsi" w:hAnsiTheme="minorHAnsi" w:cstheme="minorHAnsi"/>
          <w:sz w:val="22"/>
          <w:szCs w:val="22"/>
        </w:rPr>
      </w:pPr>
      <w:r w:rsidRPr="009C6053">
        <w:rPr>
          <w:rFonts w:asciiTheme="minorHAnsi" w:hAnsiTheme="minorHAnsi" w:cstheme="minorHAnsi"/>
          <w:sz w:val="22"/>
          <w:szCs w:val="22"/>
        </w:rPr>
        <w:t>V roce 2018 bylo evidováno 388 dopravních nehod na železničních přeje</w:t>
      </w:r>
      <w:r>
        <w:rPr>
          <w:rFonts w:asciiTheme="minorHAnsi" w:hAnsiTheme="minorHAnsi" w:cstheme="minorHAnsi"/>
          <w:sz w:val="22"/>
          <w:szCs w:val="22"/>
        </w:rPr>
        <w:t>zdech, meziročně o 26 více, tj. </w:t>
      </w:r>
      <w:r w:rsidRPr="009C6053">
        <w:rPr>
          <w:rFonts w:asciiTheme="minorHAnsi" w:hAnsiTheme="minorHAnsi" w:cstheme="minorHAnsi"/>
          <w:sz w:val="22"/>
          <w:szCs w:val="22"/>
        </w:rPr>
        <w:t>+ 7,2 %.</w:t>
      </w:r>
      <w:r>
        <w:rPr>
          <w:rFonts w:asciiTheme="minorHAnsi" w:hAnsiTheme="minorHAnsi" w:cstheme="minorHAnsi"/>
          <w:sz w:val="22"/>
          <w:szCs w:val="22"/>
        </w:rPr>
        <w:t xml:space="preserve"> P</w:t>
      </w:r>
      <w:r w:rsidRPr="009C6053">
        <w:rPr>
          <w:rFonts w:asciiTheme="minorHAnsi" w:hAnsiTheme="minorHAnsi" w:cstheme="minorHAnsi"/>
          <w:sz w:val="22"/>
          <w:szCs w:val="22"/>
        </w:rPr>
        <w:t xml:space="preserve">ři dopravních nehodách na železničních přejezdech </w:t>
      </w:r>
      <w:r>
        <w:rPr>
          <w:rFonts w:asciiTheme="minorHAnsi" w:hAnsiTheme="minorHAnsi" w:cstheme="minorHAnsi"/>
          <w:sz w:val="22"/>
          <w:szCs w:val="22"/>
        </w:rPr>
        <w:t xml:space="preserve">bylo </w:t>
      </w:r>
      <w:r w:rsidRPr="009C6053">
        <w:rPr>
          <w:rFonts w:asciiTheme="minorHAnsi" w:hAnsiTheme="minorHAnsi" w:cstheme="minorHAnsi"/>
          <w:sz w:val="22"/>
          <w:szCs w:val="22"/>
        </w:rPr>
        <w:t>usmrceno 19 osob, tj. meziročně o 2 více (+11,8 %)</w:t>
      </w:r>
      <w:r>
        <w:rPr>
          <w:rFonts w:asciiTheme="minorHAnsi" w:hAnsiTheme="minorHAnsi" w:cstheme="minorHAnsi"/>
          <w:sz w:val="22"/>
          <w:szCs w:val="22"/>
        </w:rPr>
        <w:t>, dalších 109 osob bylo zraněno (</w:t>
      </w:r>
      <w:r w:rsidRPr="009C6053">
        <w:rPr>
          <w:rFonts w:asciiTheme="minorHAnsi" w:hAnsiTheme="minorHAnsi" w:cstheme="minorHAnsi"/>
          <w:sz w:val="22"/>
          <w:szCs w:val="22"/>
        </w:rPr>
        <w:t>meziročně o 11 méně, tj. -9,2 %</w:t>
      </w:r>
      <w:r>
        <w:rPr>
          <w:rFonts w:asciiTheme="minorHAnsi" w:hAnsiTheme="minorHAnsi" w:cstheme="minorHAnsi"/>
          <w:sz w:val="22"/>
          <w:szCs w:val="22"/>
        </w:rPr>
        <w:t>).</w:t>
      </w:r>
    </w:p>
    <w:p w:rsidR="009C6053" w:rsidRDefault="009C6053" w:rsidP="001E357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357E" w:rsidRPr="001E357E" w:rsidRDefault="00097428" w:rsidP="001E357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097428">
        <w:rPr>
          <w:rFonts w:asciiTheme="minorHAnsi" w:hAnsiTheme="minorHAnsi" w:cstheme="minorHAnsi"/>
          <w:b/>
          <w:i/>
          <w:sz w:val="22"/>
          <w:szCs w:val="22"/>
        </w:rPr>
        <w:t>Česká republika disponuje jednou z nejhustších sítí železničních přejezdů v Evropě,</w:t>
      </w:r>
      <w:r>
        <w:rPr>
          <w:rFonts w:asciiTheme="minorHAnsi" w:hAnsiTheme="minorHAnsi" w:cstheme="minorHAnsi"/>
          <w:sz w:val="22"/>
          <w:szCs w:val="22"/>
        </w:rPr>
        <w:t xml:space="preserve">“ říká Ing. Jindřich Frič, Ph.D., ředitel Centra dopravního výzkumu,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v.v.</w:t>
      </w:r>
      <w:proofErr w:type="gramEnd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>. a dodává: „</w:t>
      </w:r>
      <w:r w:rsidR="00707882" w:rsidRPr="00707882">
        <w:rPr>
          <w:rFonts w:asciiTheme="minorHAnsi" w:hAnsiTheme="minorHAnsi" w:cstheme="minorHAnsi"/>
          <w:b/>
          <w:i/>
          <w:sz w:val="22"/>
          <w:szCs w:val="22"/>
        </w:rPr>
        <w:t>Závažnost dopravních nehod na železničních přejezdech při srážkách s vlakem ve srovnání s ostatními nehodami vykazuje více než 20x vyšší</w:t>
      </w:r>
      <w:r w:rsidR="00707882">
        <w:rPr>
          <w:rFonts w:asciiTheme="minorHAnsi" w:hAnsiTheme="minorHAnsi" w:cstheme="minorHAnsi"/>
          <w:b/>
          <w:i/>
          <w:sz w:val="22"/>
          <w:szCs w:val="22"/>
        </w:rPr>
        <w:t xml:space="preserve"> hodnoty</w:t>
      </w:r>
      <w:r w:rsidR="00707882" w:rsidRPr="00707882">
        <w:rPr>
          <w:rFonts w:asciiTheme="minorHAnsi" w:hAnsiTheme="minorHAnsi" w:cstheme="minorHAnsi"/>
          <w:b/>
          <w:i/>
          <w:sz w:val="22"/>
          <w:szCs w:val="22"/>
        </w:rPr>
        <w:t xml:space="preserve">! </w:t>
      </w:r>
      <w:r w:rsidRPr="00097428">
        <w:rPr>
          <w:rFonts w:asciiTheme="minorHAnsi" w:hAnsiTheme="minorHAnsi" w:cstheme="minorHAnsi"/>
          <w:i/>
          <w:sz w:val="22"/>
          <w:szCs w:val="22"/>
        </w:rPr>
        <w:t>K</w:t>
      </w:r>
      <w:r w:rsidR="001E357E" w:rsidRPr="00097428">
        <w:rPr>
          <w:rFonts w:asciiTheme="minorHAnsi" w:hAnsiTheme="minorHAnsi" w:cstheme="minorHAnsi"/>
          <w:i/>
          <w:sz w:val="22"/>
          <w:szCs w:val="22"/>
        </w:rPr>
        <w:t xml:space="preserve"> 31. 12. 2018 </w:t>
      </w:r>
      <w:r>
        <w:rPr>
          <w:rFonts w:asciiTheme="minorHAnsi" w:hAnsiTheme="minorHAnsi" w:cstheme="minorHAnsi"/>
          <w:i/>
          <w:sz w:val="22"/>
          <w:szCs w:val="22"/>
        </w:rPr>
        <w:t xml:space="preserve">bylo evidováno </w:t>
      </w:r>
      <w:r w:rsidR="001E357E" w:rsidRPr="00097428">
        <w:rPr>
          <w:rFonts w:asciiTheme="minorHAnsi" w:hAnsiTheme="minorHAnsi" w:cstheme="minorHAnsi"/>
          <w:i/>
          <w:sz w:val="22"/>
          <w:szCs w:val="22"/>
        </w:rPr>
        <w:t xml:space="preserve">celkem </w:t>
      </w:r>
      <w:r w:rsidR="001E357E" w:rsidRPr="00097428">
        <w:rPr>
          <w:rFonts w:asciiTheme="minorHAnsi" w:hAnsiTheme="minorHAnsi" w:cstheme="minorHAnsi"/>
          <w:b/>
          <w:i/>
          <w:sz w:val="22"/>
          <w:szCs w:val="22"/>
        </w:rPr>
        <w:t>7 858 železničních přej</w:t>
      </w:r>
      <w:r w:rsidR="009C6053" w:rsidRPr="00097428">
        <w:rPr>
          <w:rFonts w:asciiTheme="minorHAnsi" w:hAnsiTheme="minorHAnsi" w:cstheme="minorHAnsi"/>
          <w:b/>
          <w:i/>
          <w:sz w:val="22"/>
          <w:szCs w:val="22"/>
        </w:rPr>
        <w:t>ezdů, z nichž téměř polovina (3 </w:t>
      </w:r>
      <w:r w:rsidR="001E357E" w:rsidRPr="00097428">
        <w:rPr>
          <w:rFonts w:asciiTheme="minorHAnsi" w:hAnsiTheme="minorHAnsi" w:cstheme="minorHAnsi"/>
          <w:b/>
          <w:i/>
          <w:sz w:val="22"/>
          <w:szCs w:val="22"/>
        </w:rPr>
        <w:t>884, 49 %) byla na účelových komunikacích</w:t>
      </w:r>
      <w:r w:rsidR="001E357E" w:rsidRPr="00097428">
        <w:rPr>
          <w:rFonts w:asciiTheme="minorHAnsi" w:hAnsiTheme="minorHAnsi" w:cstheme="minorHAnsi"/>
          <w:i/>
          <w:sz w:val="22"/>
          <w:szCs w:val="22"/>
        </w:rPr>
        <w:t xml:space="preserve">. Nejvíce nehod (70) a lehce zraněných (30) na </w:t>
      </w:r>
      <w:r w:rsidR="001E357E" w:rsidRPr="00097428">
        <w:rPr>
          <w:rFonts w:asciiTheme="minorHAnsi" w:hAnsiTheme="minorHAnsi" w:cstheme="minorHAnsi"/>
          <w:i/>
          <w:sz w:val="22"/>
          <w:szCs w:val="22"/>
        </w:rPr>
        <w:lastRenderedPageBreak/>
        <w:t>železničních přejezdech při sr</w:t>
      </w:r>
      <w:r w:rsidRPr="00097428">
        <w:rPr>
          <w:rFonts w:asciiTheme="minorHAnsi" w:hAnsiTheme="minorHAnsi" w:cstheme="minorHAnsi"/>
          <w:i/>
          <w:sz w:val="22"/>
          <w:szCs w:val="22"/>
        </w:rPr>
        <w:t>ážkách s vlakem bylo v roce 201</w:t>
      </w:r>
      <w:r w:rsidR="001E357E" w:rsidRPr="00097428">
        <w:rPr>
          <w:rFonts w:asciiTheme="minorHAnsi" w:hAnsiTheme="minorHAnsi" w:cstheme="minorHAnsi"/>
          <w:i/>
          <w:sz w:val="22"/>
          <w:szCs w:val="22"/>
        </w:rPr>
        <w:t>8 evidováno na místních komunikacích, nejvíce usmrcených (7) a těžce zraněných (6) pak na silnicích III. tříd.</w:t>
      </w:r>
      <w:r>
        <w:rPr>
          <w:rFonts w:asciiTheme="minorHAnsi" w:hAnsiTheme="minorHAnsi" w:cstheme="minorHAnsi"/>
          <w:i/>
          <w:sz w:val="22"/>
          <w:szCs w:val="22"/>
        </w:rPr>
        <w:t>“</w:t>
      </w:r>
      <w:r w:rsidR="001E357E" w:rsidRPr="000974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E357E" w:rsidRPr="00097428">
        <w:rPr>
          <w:rFonts w:asciiTheme="minorHAnsi" w:hAnsiTheme="minorHAnsi" w:cstheme="minorHAnsi"/>
          <w:sz w:val="22"/>
          <w:szCs w:val="22"/>
        </w:rPr>
        <w:t>Nejvyšší počet nehod na 1 000 železničních přejezdů byl v roce 2018 evidován na místních komunikacích (39), následovaly silnice III. třídy (35), silnice II. třídy (32), silnice I. třídy (18) a účelové komunikace (2).</w:t>
      </w:r>
    </w:p>
    <w:p w:rsidR="00E84DE7" w:rsidRDefault="00E84DE7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62B04" w:rsidRDefault="001E357E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44BF482" wp14:editId="20F02713">
            <wp:extent cx="5760720" cy="3721100"/>
            <wp:effectExtent l="0" t="0" r="11430" b="12700"/>
            <wp:docPr id="478" name="Graf 4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C6053" w:rsidRDefault="009C6053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6053" w:rsidRPr="009C6053" w:rsidRDefault="009C6053" w:rsidP="009C6053">
      <w:pPr>
        <w:jc w:val="both"/>
        <w:rPr>
          <w:rFonts w:asciiTheme="minorHAnsi" w:hAnsiTheme="minorHAnsi" w:cstheme="minorHAnsi"/>
          <w:sz w:val="22"/>
          <w:szCs w:val="22"/>
        </w:rPr>
      </w:pPr>
      <w:r w:rsidRPr="009C6053">
        <w:rPr>
          <w:rFonts w:asciiTheme="minorHAnsi" w:hAnsiTheme="minorHAnsi" w:cstheme="minorHAnsi"/>
          <w:b/>
          <w:sz w:val="22"/>
          <w:szCs w:val="22"/>
        </w:rPr>
        <w:t>Polovina (3 720) železničních přejezdů byla zabezpečena pouze výstražným křížem, tj. 47,3 %.</w:t>
      </w:r>
      <w:r w:rsidRPr="009C6053">
        <w:rPr>
          <w:rFonts w:asciiTheme="minorHAnsi" w:hAnsiTheme="minorHAnsi" w:cstheme="minorHAnsi"/>
          <w:sz w:val="22"/>
          <w:szCs w:val="22"/>
        </w:rPr>
        <w:t xml:space="preserve"> Dle legislativy musí být v České republice železniční přejezdy chráněné, tedy pro účastníky silničního provozu zabezpečené. Databáze ŘSDP PP ČR rozlišuje železniční přejezdy na:</w:t>
      </w:r>
    </w:p>
    <w:p w:rsidR="009C6053" w:rsidRPr="009C6053" w:rsidRDefault="009C6053" w:rsidP="009C6053">
      <w:pPr>
        <w:jc w:val="both"/>
        <w:rPr>
          <w:rFonts w:asciiTheme="minorHAnsi" w:hAnsiTheme="minorHAnsi" w:cstheme="minorHAnsi"/>
          <w:sz w:val="22"/>
          <w:szCs w:val="22"/>
        </w:rPr>
      </w:pPr>
      <w:r w:rsidRPr="009C6053">
        <w:rPr>
          <w:rFonts w:asciiTheme="minorHAnsi" w:hAnsiTheme="minorHAnsi" w:cstheme="minorHAnsi"/>
          <w:sz w:val="22"/>
          <w:szCs w:val="22"/>
        </w:rPr>
        <w:t>-</w:t>
      </w:r>
      <w:r w:rsidRPr="009C6053">
        <w:rPr>
          <w:rFonts w:asciiTheme="minorHAnsi" w:hAnsiTheme="minorHAnsi" w:cstheme="minorHAnsi"/>
          <w:sz w:val="22"/>
          <w:szCs w:val="22"/>
        </w:rPr>
        <w:tab/>
      </w:r>
      <w:r w:rsidR="003F6AC8">
        <w:rPr>
          <w:rFonts w:asciiTheme="minorHAnsi" w:hAnsiTheme="minorHAnsi" w:cstheme="minorHAnsi"/>
          <w:sz w:val="22"/>
          <w:szCs w:val="22"/>
        </w:rPr>
        <w:t xml:space="preserve">technicky </w:t>
      </w:r>
      <w:r w:rsidRPr="009C6053">
        <w:rPr>
          <w:rFonts w:asciiTheme="minorHAnsi" w:hAnsiTheme="minorHAnsi" w:cstheme="minorHAnsi"/>
          <w:b/>
          <w:sz w:val="22"/>
          <w:szCs w:val="22"/>
        </w:rPr>
        <w:t>zabezpečené</w:t>
      </w:r>
      <w:r w:rsidRPr="009C6053">
        <w:rPr>
          <w:rFonts w:asciiTheme="minorHAnsi" w:hAnsiTheme="minorHAnsi" w:cstheme="minorHAnsi"/>
          <w:sz w:val="22"/>
          <w:szCs w:val="22"/>
        </w:rPr>
        <w:t xml:space="preserve"> přejezdovým zabezpečovacím zařízením,</w:t>
      </w:r>
    </w:p>
    <w:p w:rsidR="009C6053" w:rsidRDefault="009C6053" w:rsidP="009C6053">
      <w:pPr>
        <w:jc w:val="both"/>
        <w:rPr>
          <w:rFonts w:asciiTheme="minorHAnsi" w:hAnsiTheme="minorHAnsi" w:cstheme="minorHAnsi"/>
          <w:sz w:val="22"/>
          <w:szCs w:val="22"/>
        </w:rPr>
      </w:pPr>
      <w:r w:rsidRPr="009C6053">
        <w:rPr>
          <w:rFonts w:asciiTheme="minorHAnsi" w:hAnsiTheme="minorHAnsi" w:cstheme="minorHAnsi"/>
          <w:sz w:val="22"/>
          <w:szCs w:val="22"/>
        </w:rPr>
        <w:t>-</w:t>
      </w:r>
      <w:r w:rsidRPr="009C6053">
        <w:rPr>
          <w:rFonts w:asciiTheme="minorHAnsi" w:hAnsiTheme="minorHAnsi" w:cstheme="minorHAnsi"/>
          <w:sz w:val="22"/>
          <w:szCs w:val="22"/>
        </w:rPr>
        <w:tab/>
      </w:r>
      <w:r w:rsidR="003F6AC8">
        <w:rPr>
          <w:rFonts w:asciiTheme="minorHAnsi" w:hAnsiTheme="minorHAnsi" w:cstheme="minorHAnsi"/>
          <w:sz w:val="22"/>
          <w:szCs w:val="22"/>
        </w:rPr>
        <w:t xml:space="preserve">technicky </w:t>
      </w:r>
      <w:r w:rsidRPr="009C6053">
        <w:rPr>
          <w:rFonts w:asciiTheme="minorHAnsi" w:hAnsiTheme="minorHAnsi" w:cstheme="minorHAnsi"/>
          <w:b/>
          <w:sz w:val="22"/>
          <w:szCs w:val="22"/>
        </w:rPr>
        <w:t>nezabezpečené</w:t>
      </w:r>
      <w:r w:rsidRPr="009C6053">
        <w:rPr>
          <w:rFonts w:asciiTheme="minorHAnsi" w:hAnsiTheme="minorHAnsi" w:cstheme="minorHAnsi"/>
          <w:sz w:val="22"/>
          <w:szCs w:val="22"/>
        </w:rPr>
        <w:t>, resp. zabezpečené pouze výstražným křížem.</w:t>
      </w:r>
    </w:p>
    <w:p w:rsidR="00582E93" w:rsidRPr="009C6053" w:rsidRDefault="00582E93" w:rsidP="009C60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6053" w:rsidRPr="00EB48BE" w:rsidRDefault="009C6053" w:rsidP="009C605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B48BE">
        <w:rPr>
          <w:rFonts w:asciiTheme="minorHAnsi" w:hAnsiTheme="minorHAnsi" w:cstheme="minorHAnsi"/>
          <w:b/>
          <w:sz w:val="22"/>
          <w:szCs w:val="22"/>
        </w:rPr>
        <w:t xml:space="preserve">V roce 2018 bylo evidováno na </w:t>
      </w:r>
      <w:r w:rsidR="00707882">
        <w:rPr>
          <w:rFonts w:asciiTheme="minorHAnsi" w:hAnsiTheme="minorHAnsi" w:cstheme="minorHAnsi"/>
          <w:b/>
          <w:sz w:val="22"/>
          <w:szCs w:val="22"/>
        </w:rPr>
        <w:t xml:space="preserve">technicky </w:t>
      </w:r>
      <w:r w:rsidRPr="00707882">
        <w:rPr>
          <w:rFonts w:asciiTheme="minorHAnsi" w:hAnsiTheme="minorHAnsi" w:cstheme="minorHAnsi"/>
          <w:b/>
          <w:sz w:val="22"/>
          <w:szCs w:val="22"/>
          <w:u w:val="single"/>
        </w:rPr>
        <w:t>nezabezpečených</w:t>
      </w:r>
      <w:r w:rsidRPr="009C6053">
        <w:rPr>
          <w:rFonts w:asciiTheme="minorHAnsi" w:hAnsiTheme="minorHAnsi" w:cstheme="minorHAnsi"/>
          <w:sz w:val="22"/>
          <w:szCs w:val="22"/>
        </w:rPr>
        <w:t xml:space="preserve"> (zabezpečené pouze výstražným křížem) </w:t>
      </w:r>
      <w:r w:rsidRPr="00EB48BE">
        <w:rPr>
          <w:rFonts w:asciiTheme="minorHAnsi" w:hAnsiTheme="minorHAnsi" w:cstheme="minorHAnsi"/>
          <w:b/>
          <w:sz w:val="22"/>
          <w:szCs w:val="22"/>
        </w:rPr>
        <w:t>železničních přejezdech při srážkách s vlakem 85 nehod (57 %), při kterých bylo 8 osob usmrceno (44 %), 9 osob těžce zraněno (75 %) a 19 osob bylo zraněno lehce (32 %).</w:t>
      </w:r>
    </w:p>
    <w:p w:rsidR="001E357E" w:rsidRDefault="001E357E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2B04" w:rsidRPr="00662B04" w:rsidRDefault="00662B04" w:rsidP="00662B0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662B04">
        <w:rPr>
          <w:rFonts w:asciiTheme="minorHAnsi" w:hAnsiTheme="minorHAnsi" w:cstheme="minorHAnsi"/>
          <w:color w:val="2E74B5" w:themeColor="accent1" w:themeShade="BF"/>
        </w:rPr>
        <w:t>Krajské srovnání</w:t>
      </w:r>
    </w:p>
    <w:p w:rsidR="001E357E" w:rsidRDefault="001E357E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1E357E">
        <w:rPr>
          <w:rFonts w:asciiTheme="minorHAnsi" w:hAnsiTheme="minorHAnsi" w:cstheme="minorHAnsi"/>
          <w:sz w:val="22"/>
          <w:szCs w:val="22"/>
        </w:rPr>
        <w:t xml:space="preserve">V roce 2018 bylo nejvíce nehod na železničních přejezdech při srážkách s vlakem a také následků na životech a zdraví evidováno </w:t>
      </w:r>
      <w:r w:rsidRPr="001E357E">
        <w:rPr>
          <w:rFonts w:asciiTheme="minorHAnsi" w:hAnsiTheme="minorHAnsi" w:cstheme="minorHAnsi"/>
          <w:b/>
          <w:sz w:val="22"/>
          <w:szCs w:val="22"/>
        </w:rPr>
        <w:t>ve Středočeském a Jihočeském kraji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E357E" w:rsidRPr="001E357E" w:rsidRDefault="001E357E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2B04" w:rsidRDefault="001E357E" w:rsidP="001E357E">
      <w:pPr>
        <w:jc w:val="both"/>
        <w:rPr>
          <w:rFonts w:asciiTheme="minorHAnsi" w:hAnsiTheme="minorHAnsi" w:cstheme="minorHAnsi"/>
          <w:sz w:val="22"/>
          <w:szCs w:val="22"/>
        </w:rPr>
      </w:pPr>
      <w:r w:rsidRPr="001E357E">
        <w:rPr>
          <w:rFonts w:asciiTheme="minorHAnsi" w:hAnsiTheme="minorHAnsi" w:cstheme="minorHAnsi"/>
          <w:b/>
          <w:sz w:val="22"/>
          <w:szCs w:val="22"/>
        </w:rPr>
        <w:t xml:space="preserve">Nejvíce nehod na železničních přejezdech při srážce s vlakem v roce 2018 bylo evidováno ve Středočeském kraji (39), naopak nejméně v Karlovarském kraji (2). </w:t>
      </w:r>
      <w:r w:rsidRPr="001E357E">
        <w:rPr>
          <w:rFonts w:asciiTheme="minorHAnsi" w:hAnsiTheme="minorHAnsi" w:cstheme="minorHAnsi"/>
          <w:sz w:val="22"/>
          <w:szCs w:val="22"/>
        </w:rPr>
        <w:t>Nejvyšší podíl těchto nehod na všech nehodách byl evidován v Jihočeském (0,37 %) a Plzeňském kraji (0,35 %).</w:t>
      </w:r>
      <w:r w:rsidR="00582E93">
        <w:rPr>
          <w:rFonts w:asciiTheme="minorHAnsi" w:hAnsiTheme="minorHAnsi" w:cstheme="minorHAnsi"/>
          <w:sz w:val="22"/>
          <w:szCs w:val="22"/>
        </w:rPr>
        <w:t xml:space="preserve"> </w:t>
      </w:r>
      <w:r w:rsidR="00582E93" w:rsidRPr="00582E93">
        <w:rPr>
          <w:rFonts w:asciiTheme="minorHAnsi" w:hAnsiTheme="minorHAnsi" w:cstheme="minorHAnsi"/>
          <w:b/>
          <w:sz w:val="22"/>
          <w:szCs w:val="22"/>
        </w:rPr>
        <w:t>Suverénně nejvíce usmrcených osob na železničních přejezdech při srážkách s vlakem v roce 2018 bylo evidováno ve Středočeském kraji (8 osob)</w:t>
      </w:r>
      <w:r w:rsidR="00582E93" w:rsidRPr="00582E93">
        <w:rPr>
          <w:rFonts w:asciiTheme="minorHAnsi" w:hAnsiTheme="minorHAnsi" w:cstheme="minorHAnsi"/>
          <w:sz w:val="22"/>
          <w:szCs w:val="22"/>
        </w:rPr>
        <w:t>, naopak v 8 krajích nedošlo k usmrcení osoby.</w:t>
      </w:r>
    </w:p>
    <w:p w:rsidR="009C6053" w:rsidRPr="001E357E" w:rsidRDefault="009C6053" w:rsidP="001E357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357E" w:rsidRDefault="001E357E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BE55CE0" wp14:editId="2928F3B0">
            <wp:extent cx="5760720" cy="3721100"/>
            <wp:effectExtent l="0" t="0" r="11430" b="12700"/>
            <wp:docPr id="470" name="Graf 4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82E93" w:rsidRDefault="00582E93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E6F77" w:rsidRPr="00EE6F77" w:rsidRDefault="00582E93" w:rsidP="00EE6F77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>
        <w:rPr>
          <w:rFonts w:asciiTheme="minorHAnsi" w:hAnsiTheme="minorHAnsi" w:cstheme="minorHAnsi"/>
          <w:color w:val="2E74B5" w:themeColor="accent1" w:themeShade="BF"/>
        </w:rPr>
        <w:t>Lokalizace srážek s vlakem na železničních přejezdech</w:t>
      </w:r>
    </w:p>
    <w:p w:rsidR="00582E93" w:rsidRPr="00582E93" w:rsidRDefault="00104111" w:rsidP="0093701C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2765425</wp:posOffset>
            </wp:positionH>
            <wp:positionV relativeFrom="paragraph">
              <wp:posOffset>48895</wp:posOffset>
            </wp:positionV>
            <wp:extent cx="2990850" cy="1756410"/>
            <wp:effectExtent l="0" t="0" r="0" b="0"/>
            <wp:wrapTight wrapText="bothSides">
              <wp:wrapPolygon edited="0">
                <wp:start x="0" y="0"/>
                <wp:lineTo x="0" y="21319"/>
                <wp:lineTo x="21462" y="21319"/>
                <wp:lineTo x="21462" y="0"/>
                <wp:lineTo x="0" y="0"/>
              </wp:wrapPolygon>
            </wp:wrapTight>
            <wp:docPr id="99" name="Obrázek 99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E93" w:rsidRPr="00582E93">
        <w:rPr>
          <w:rFonts w:asciiTheme="minorHAnsi" w:hAnsiTheme="minorHAnsi" w:cstheme="minorHAnsi"/>
          <w:sz w:val="22"/>
          <w:szCs w:val="22"/>
        </w:rPr>
        <w:t>Srážky s vlak</w:t>
      </w:r>
      <w:r>
        <w:rPr>
          <w:rFonts w:asciiTheme="minorHAnsi" w:hAnsiTheme="minorHAnsi" w:cstheme="minorHAnsi"/>
          <w:sz w:val="22"/>
          <w:szCs w:val="22"/>
        </w:rPr>
        <w:t>em na železničních přejezdech v </w:t>
      </w:r>
      <w:r w:rsidR="00582E93" w:rsidRPr="00582E93">
        <w:rPr>
          <w:rFonts w:asciiTheme="minorHAnsi" w:hAnsiTheme="minorHAnsi" w:cstheme="minorHAnsi"/>
          <w:sz w:val="22"/>
          <w:szCs w:val="22"/>
        </w:rPr>
        <w:t xml:space="preserve">roce 2018 jsou </w:t>
      </w:r>
      <w:r>
        <w:rPr>
          <w:rFonts w:asciiTheme="minorHAnsi" w:hAnsiTheme="minorHAnsi" w:cstheme="minorHAnsi"/>
          <w:sz w:val="22"/>
          <w:szCs w:val="22"/>
        </w:rPr>
        <w:t>uvedeny v </w:t>
      </w:r>
      <w:r w:rsidR="00582E93">
        <w:rPr>
          <w:rFonts w:asciiTheme="minorHAnsi" w:hAnsiTheme="minorHAnsi" w:cstheme="minorHAnsi"/>
          <w:sz w:val="22"/>
          <w:szCs w:val="22"/>
        </w:rPr>
        <w:t>mapových podkladech z </w:t>
      </w:r>
      <w:r w:rsidR="00582E93" w:rsidRPr="00582E93">
        <w:rPr>
          <w:rFonts w:asciiTheme="minorHAnsi" w:hAnsiTheme="minorHAnsi" w:cstheme="minorHAnsi"/>
          <w:sz w:val="22"/>
          <w:szCs w:val="22"/>
        </w:rPr>
        <w:t xml:space="preserve">aplikace </w:t>
      </w:r>
      <w:r w:rsidR="00582E93" w:rsidRPr="00582E93">
        <w:rPr>
          <w:rFonts w:asciiTheme="minorHAnsi" w:hAnsiTheme="minorHAnsi" w:cstheme="minorHAnsi"/>
          <w:b/>
          <w:sz w:val="22"/>
          <w:szCs w:val="22"/>
        </w:rPr>
        <w:t>DOPRAVNÍ NEHODY V ČR</w:t>
      </w:r>
      <w:r w:rsidR="00582E93">
        <w:rPr>
          <w:rFonts w:asciiTheme="minorHAnsi" w:hAnsiTheme="minorHAnsi" w:cstheme="minorHAnsi"/>
          <w:sz w:val="22"/>
          <w:szCs w:val="22"/>
        </w:rPr>
        <w:t xml:space="preserve"> (</w:t>
      </w:r>
      <w:r w:rsidR="00582E93" w:rsidRPr="00582E93">
        <w:rPr>
          <w:rFonts w:asciiTheme="minorHAnsi" w:hAnsiTheme="minorHAnsi" w:cstheme="minorHAnsi"/>
          <w:sz w:val="22"/>
          <w:szCs w:val="22"/>
        </w:rPr>
        <w:t>https://</w:t>
      </w:r>
      <w:proofErr w:type="gramStart"/>
      <w:r w:rsidR="00582E93" w:rsidRPr="00582E93">
        <w:rPr>
          <w:rFonts w:asciiTheme="minorHAnsi" w:hAnsiTheme="minorHAnsi" w:cstheme="minorHAnsi"/>
          <w:b/>
          <w:sz w:val="22"/>
          <w:szCs w:val="22"/>
        </w:rPr>
        <w:t>nehody.cdv</w:t>
      </w:r>
      <w:proofErr w:type="gramEnd"/>
      <w:r w:rsidR="00582E93" w:rsidRPr="00582E93">
        <w:rPr>
          <w:rFonts w:asciiTheme="minorHAnsi" w:hAnsiTheme="minorHAnsi" w:cstheme="minorHAnsi"/>
          <w:b/>
          <w:sz w:val="22"/>
          <w:szCs w:val="22"/>
        </w:rPr>
        <w:t>.cz</w:t>
      </w:r>
      <w:r w:rsidR="00582E93" w:rsidRPr="00582E93">
        <w:rPr>
          <w:rFonts w:asciiTheme="minorHAnsi" w:hAnsiTheme="minorHAnsi" w:cstheme="minorHAnsi"/>
          <w:sz w:val="22"/>
          <w:szCs w:val="22"/>
        </w:rPr>
        <w:t>/</w:t>
      </w:r>
      <w:r w:rsidR="00582E93">
        <w:rPr>
          <w:rFonts w:asciiTheme="minorHAnsi" w:hAnsiTheme="minorHAnsi" w:cstheme="minorHAnsi"/>
          <w:sz w:val="22"/>
          <w:szCs w:val="22"/>
        </w:rPr>
        <w:t>)</w:t>
      </w:r>
      <w:r w:rsidR="00582E93" w:rsidRPr="00582E93">
        <w:rPr>
          <w:rFonts w:asciiTheme="minorHAnsi" w:hAnsiTheme="minorHAnsi" w:cstheme="minorHAnsi"/>
          <w:sz w:val="22"/>
          <w:szCs w:val="22"/>
        </w:rPr>
        <w:t>. Předdefinovány byly příslušné filtry tak, aby bylo na první pohled zřeteln</w:t>
      </w:r>
      <w:r>
        <w:rPr>
          <w:rFonts w:asciiTheme="minorHAnsi" w:hAnsiTheme="minorHAnsi" w:cstheme="minorHAnsi"/>
          <w:sz w:val="22"/>
          <w:szCs w:val="22"/>
        </w:rPr>
        <w:t>é, kde došlo v uplynulém roce k </w:t>
      </w:r>
      <w:r w:rsidR="00582E93" w:rsidRPr="00582E93">
        <w:rPr>
          <w:rFonts w:asciiTheme="minorHAnsi" w:hAnsiTheme="minorHAnsi" w:cstheme="minorHAnsi"/>
          <w:sz w:val="22"/>
          <w:szCs w:val="22"/>
        </w:rPr>
        <w:t>nehodám, resp. usmrcením, těžkým a lehkým zraněním. Součástí detailů nehod jsou desítky důležitých informací. Změnou územní jednotky lze zobrazit de</w:t>
      </w:r>
      <w:r>
        <w:rPr>
          <w:rFonts w:asciiTheme="minorHAnsi" w:hAnsiTheme="minorHAnsi" w:cstheme="minorHAnsi"/>
          <w:sz w:val="22"/>
          <w:szCs w:val="22"/>
        </w:rPr>
        <w:t>tailněji uvedené nehody např. v </w:t>
      </w:r>
      <w:r w:rsidR="00582E93" w:rsidRPr="00582E93">
        <w:rPr>
          <w:rFonts w:asciiTheme="minorHAnsi" w:hAnsiTheme="minorHAnsi" w:cstheme="minorHAnsi"/>
          <w:sz w:val="22"/>
          <w:szCs w:val="22"/>
        </w:rPr>
        <w:t>rámci konkrétního kraje.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2E93" w:rsidRPr="00582E93">
        <w:rPr>
          <w:rFonts w:asciiTheme="minorHAnsi" w:hAnsiTheme="minorHAnsi" w:cstheme="minorHAnsi"/>
          <w:i/>
          <w:sz w:val="22"/>
          <w:szCs w:val="22"/>
        </w:rPr>
        <w:t xml:space="preserve">Pozn. pro otevření interaktivní mapy v prohlížeči klikněte na obrázek výše, příp. </w:t>
      </w:r>
      <w:hyperlink r:id="rId20" w:history="1">
        <w:r w:rsidR="00582E93" w:rsidRPr="00582E93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zde</w:t>
        </w:r>
      </w:hyperlink>
      <w:r w:rsidR="00582E93" w:rsidRPr="00582E93">
        <w:rPr>
          <w:rFonts w:asciiTheme="minorHAnsi" w:hAnsiTheme="minorHAnsi" w:cstheme="minorHAnsi"/>
          <w:i/>
          <w:sz w:val="22"/>
          <w:szCs w:val="22"/>
        </w:rPr>
        <w:t>.</w:t>
      </w:r>
    </w:p>
    <w:p w:rsidR="00887BC7" w:rsidRDefault="00887BC7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4111" w:rsidRPr="0073672D" w:rsidRDefault="00104111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 xml:space="preserve">Mgr. Tomáš </w:t>
      </w:r>
      <w:proofErr w:type="spellStart"/>
      <w:r w:rsidRPr="0073672D">
        <w:rPr>
          <w:rFonts w:asciiTheme="minorHAnsi" w:hAnsiTheme="minorHAnsi" w:cstheme="minorHAnsi"/>
          <w:b/>
          <w:sz w:val="22"/>
          <w:szCs w:val="22"/>
        </w:rPr>
        <w:t>Neřold</w:t>
      </w:r>
      <w:proofErr w:type="spellEnd"/>
      <w:r w:rsidRPr="0073672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73672D">
        <w:rPr>
          <w:rFonts w:asciiTheme="minorHAnsi" w:hAnsiTheme="minorHAnsi" w:cstheme="minorHAnsi"/>
          <w:b/>
          <w:sz w:val="22"/>
          <w:szCs w:val="22"/>
        </w:rPr>
        <w:t>M.A.</w:t>
      </w:r>
      <w:proofErr w:type="gramEnd"/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:rsidR="0093701C" w:rsidRPr="0073672D" w:rsidRDefault="00655E92" w:rsidP="0093701C">
      <w:pPr>
        <w:rPr>
          <w:rFonts w:asciiTheme="minorHAnsi" w:hAnsiTheme="minorHAnsi" w:cstheme="minorHAnsi"/>
          <w:sz w:val="22"/>
          <w:szCs w:val="22"/>
        </w:rPr>
      </w:pPr>
      <w:hyperlink r:id="rId21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p w:rsidR="00707882" w:rsidRDefault="00707882">
      <w:pPr>
        <w:rPr>
          <w:rFonts w:asciiTheme="minorHAnsi" w:hAnsiTheme="minorHAnsi" w:cstheme="minorHAnsi"/>
          <w:sz w:val="22"/>
          <w:szCs w:val="22"/>
        </w:rPr>
      </w:pPr>
    </w:p>
    <w:p w:rsidR="00104111" w:rsidRDefault="00104111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12D83" w:rsidRPr="00EA5794" w:rsidRDefault="00212D83" w:rsidP="00212D83">
      <w:pPr>
        <w:jc w:val="both"/>
        <w:rPr>
          <w:rFonts w:ascii="Calibri" w:hAnsi="Calibri" w:cs="Calibri"/>
          <w:sz w:val="16"/>
          <w:szCs w:val="16"/>
        </w:rPr>
      </w:pPr>
      <w:r w:rsidRPr="00EA5794">
        <w:rPr>
          <w:rFonts w:ascii="Calibri" w:hAnsi="Calibri" w:cs="Calibri"/>
          <w:sz w:val="16"/>
          <w:szCs w:val="16"/>
        </w:rPr>
        <w:t xml:space="preserve">[1] </w:t>
      </w:r>
      <w:hyperlink r:id="rId22" w:history="1">
        <w:r w:rsidRPr="00EA5794">
          <w:rPr>
            <w:rStyle w:val="Hypertextovodkaz"/>
            <w:rFonts w:ascii="Calibri" w:hAnsi="Calibri" w:cs="Calibri"/>
            <w:color w:val="auto"/>
            <w:sz w:val="16"/>
            <w:szCs w:val="16"/>
          </w:rPr>
          <w:t>CDV: Železniční přejezdy – Dopravní nehody a jejich následky (2019)</w:t>
        </w:r>
      </w:hyperlink>
    </w:p>
    <w:p w:rsidR="00212D83" w:rsidRPr="00212D83" w:rsidRDefault="00212D83" w:rsidP="00212D83">
      <w:pPr>
        <w:jc w:val="both"/>
        <w:rPr>
          <w:rFonts w:ascii="Calibri" w:hAnsi="Calibri" w:cs="Calibri"/>
          <w:sz w:val="16"/>
          <w:szCs w:val="16"/>
        </w:rPr>
      </w:pPr>
      <w:r w:rsidRPr="00212D83">
        <w:rPr>
          <w:rFonts w:ascii="Calibri" w:hAnsi="Calibri" w:cs="Calibri"/>
          <w:sz w:val="16"/>
          <w:szCs w:val="16"/>
        </w:rPr>
        <w:t>[3] Správa železniční dopravní cesty: Přejezdy v číslech</w:t>
      </w:r>
    </w:p>
    <w:p w:rsidR="00212D83" w:rsidRPr="00212D83" w:rsidRDefault="00212D83" w:rsidP="00212D83">
      <w:pPr>
        <w:jc w:val="both"/>
        <w:rPr>
          <w:rFonts w:ascii="Calibri" w:hAnsi="Calibri" w:cs="Calibri"/>
          <w:sz w:val="16"/>
          <w:szCs w:val="16"/>
        </w:rPr>
      </w:pPr>
      <w:r w:rsidRPr="00212D83">
        <w:rPr>
          <w:rFonts w:ascii="Calibri" w:hAnsi="Calibri" w:cs="Calibri"/>
          <w:sz w:val="16"/>
          <w:szCs w:val="16"/>
        </w:rPr>
        <w:t>[4] Drážní úřad: Každý železniční přejezd je zabezpečený. I ten "nezabezpečený"</w:t>
      </w:r>
    </w:p>
    <w:p w:rsidR="00212D83" w:rsidRPr="00212D83" w:rsidRDefault="00212D83" w:rsidP="00212D83">
      <w:pPr>
        <w:jc w:val="both"/>
        <w:rPr>
          <w:rFonts w:ascii="Calibri" w:hAnsi="Calibri" w:cs="Calibri"/>
          <w:sz w:val="16"/>
          <w:szCs w:val="16"/>
        </w:rPr>
      </w:pPr>
      <w:r w:rsidRPr="00212D83">
        <w:rPr>
          <w:rFonts w:ascii="Calibri" w:hAnsi="Calibri" w:cs="Calibri"/>
          <w:sz w:val="16"/>
          <w:szCs w:val="16"/>
        </w:rPr>
        <w:t>[5] CDV: Analýza řešení krizových situací na železničních přejezdech (2017)</w:t>
      </w:r>
    </w:p>
    <w:p w:rsidR="00707882" w:rsidRDefault="00707882" w:rsidP="00212D83">
      <w:pPr>
        <w:jc w:val="both"/>
        <w:rPr>
          <w:rStyle w:val="Hypertextovodkaz"/>
          <w:rFonts w:ascii="Calibri" w:hAnsi="Calibri" w:cs="Calibri"/>
          <w:color w:val="auto"/>
          <w:sz w:val="16"/>
          <w:szCs w:val="16"/>
        </w:rPr>
      </w:pPr>
    </w:p>
    <w:p w:rsidR="00212D83" w:rsidRPr="00212D83" w:rsidRDefault="00212D83" w:rsidP="00E12E47">
      <w:pPr>
        <w:jc w:val="both"/>
        <w:rPr>
          <w:rFonts w:ascii="Calibri" w:hAnsi="Calibri" w:cs="Calibri"/>
          <w:i/>
          <w:sz w:val="16"/>
          <w:szCs w:val="16"/>
        </w:rPr>
      </w:pPr>
      <w:r w:rsidRPr="00212D83">
        <w:rPr>
          <w:rFonts w:ascii="Calibri" w:hAnsi="Calibri" w:cs="Calibri"/>
          <w:i/>
          <w:sz w:val="16"/>
          <w:szCs w:val="16"/>
        </w:rPr>
        <w:t>Pozn. V dopravních nehodách a jejich následcích na železničních přejezdech nejsou v případě zdrojových dat ŘSDP PP ČR uváděny střety vlaku s chodcem. Jelikož se nejedná o střety silničních motorových/nemotorových vozidel, spadají tyto případy pod evidenci Drážní inspekce.</w:t>
      </w:r>
    </w:p>
    <w:sectPr w:rsidR="00212D83" w:rsidRPr="00212D83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92" w:rsidRDefault="00655E92" w:rsidP="0093701C">
      <w:r>
        <w:separator/>
      </w:r>
    </w:p>
  </w:endnote>
  <w:endnote w:type="continuationSeparator" w:id="0">
    <w:p w:rsidR="00655E92" w:rsidRDefault="00655E92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 - PRÁVO A ZODPOVĚDNOST KAŽDÉHO Z NÁS!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92" w:rsidRDefault="00655E92" w:rsidP="0093701C">
      <w:r>
        <w:separator/>
      </w:r>
    </w:p>
  </w:footnote>
  <w:footnote w:type="continuationSeparator" w:id="0">
    <w:p w:rsidR="00655E92" w:rsidRDefault="00655E92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31B35021" wp14:editId="4715C460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1C"/>
    <w:rsid w:val="00097428"/>
    <w:rsid w:val="00104099"/>
    <w:rsid w:val="00104111"/>
    <w:rsid w:val="00190584"/>
    <w:rsid w:val="001E357E"/>
    <w:rsid w:val="00212D83"/>
    <w:rsid w:val="00301FAA"/>
    <w:rsid w:val="00336D03"/>
    <w:rsid w:val="0034539F"/>
    <w:rsid w:val="00346BB5"/>
    <w:rsid w:val="003F6AC8"/>
    <w:rsid w:val="004A5115"/>
    <w:rsid w:val="00582E93"/>
    <w:rsid w:val="00655E92"/>
    <w:rsid w:val="00662B04"/>
    <w:rsid w:val="0070428F"/>
    <w:rsid w:val="00707882"/>
    <w:rsid w:val="0073672D"/>
    <w:rsid w:val="00753260"/>
    <w:rsid w:val="00756AF3"/>
    <w:rsid w:val="007F64B3"/>
    <w:rsid w:val="00887BC7"/>
    <w:rsid w:val="0093701C"/>
    <w:rsid w:val="009425B0"/>
    <w:rsid w:val="00953E09"/>
    <w:rsid w:val="009C6053"/>
    <w:rsid w:val="00A04E99"/>
    <w:rsid w:val="00A210DF"/>
    <w:rsid w:val="00A370A9"/>
    <w:rsid w:val="00A45114"/>
    <w:rsid w:val="00BF5DA9"/>
    <w:rsid w:val="00C02869"/>
    <w:rsid w:val="00CB5362"/>
    <w:rsid w:val="00CB57F2"/>
    <w:rsid w:val="00D26C91"/>
    <w:rsid w:val="00D34E6C"/>
    <w:rsid w:val="00E12E47"/>
    <w:rsid w:val="00E77585"/>
    <w:rsid w:val="00E84DE7"/>
    <w:rsid w:val="00EA5794"/>
    <w:rsid w:val="00EB48BE"/>
    <w:rsid w:val="00EE6F77"/>
    <w:rsid w:val="00EF264F"/>
    <w:rsid w:val="00FB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EA24A-D2C7-4035-A4DA-0824D9F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g"/><Relationship Id="rId18" Type="http://schemas.openxmlformats.org/officeDocument/2006/relationships/hyperlink" Target="https://nehody.cdv.cz/statistics.php?h=9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tomas.nerold@mdcr.cz" TargetMode="External"/><Relationship Id="rId7" Type="http://schemas.openxmlformats.org/officeDocument/2006/relationships/hyperlink" Target="https://www.youtube.com/watch?v=uvOcuLpQ7l4" TargetMode="External"/><Relationship Id="rId12" Type="http://schemas.openxmlformats.org/officeDocument/2006/relationships/hyperlink" Target="https://www.youtube.com/watch?v=T3XFYZlavSM" TargetMode="Externa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hyperlink" Target="https://nehody.cdv.cz/statistics.php?h=9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tGCZl_TCH8" TargetMode="External"/><Relationship Id="rId14" Type="http://schemas.openxmlformats.org/officeDocument/2006/relationships/hyperlink" Target="https://www.youtube.com/watch?v=mftEmbf-YLE" TargetMode="External"/><Relationship Id="rId22" Type="http://schemas.openxmlformats.org/officeDocument/2006/relationships/hyperlink" Target="https://www.ibesip.cz/getattachment/Statistiky/Statistiky-nehodovosti-v-Ceske-republice/Dopravni-nehodovost-v-roce-2019/Zeleznicni-prejezdy/Zeleznicni-prejezdy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D:\Users\Kadula\BESIP\2019\1%20-%20zdrojov&#233;%20excely\&#381;elezni&#269;n&#237;%20p&#345;ejezdy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file:///D:\Users\Kadula\BESIP\2019\1%20-%20zdrojov&#233;%20excely\&#381;elezni&#269;n&#237;%20p&#345;ejezd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Nehody a následky na železničních přejezdech při srážkách s vlakem dle křížení</a:t>
            </a:r>
            <a:r>
              <a:rPr lang="cs-CZ" baseline="0"/>
              <a:t> s jednotlivými druhy komunikací </a:t>
            </a:r>
            <a:r>
              <a:rPr lang="cs-CZ"/>
              <a:t>v roce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stacked"/>
        <c:varyColors val="0"/>
        <c:ser>
          <c:idx val="1"/>
          <c:order val="1"/>
          <c:tx>
            <c:strRef>
              <c:f>Komunikace!$C$1</c:f>
              <c:strCache>
                <c:ptCount val="1"/>
                <c:pt idx="0">
                  <c:v>Usmrceno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Komunikace!$A$2:$A$6</c:f>
              <c:strCache>
                <c:ptCount val="5"/>
                <c:pt idx="0">
                  <c:v>silnice I. třídy</c:v>
                </c:pt>
                <c:pt idx="1">
                  <c:v>silnice II. třídy</c:v>
                </c:pt>
                <c:pt idx="2">
                  <c:v>silnice III. třídy</c:v>
                </c:pt>
                <c:pt idx="3">
                  <c:v>místní komunikace</c:v>
                </c:pt>
                <c:pt idx="4">
                  <c:v>účelová komunikace</c:v>
                </c:pt>
              </c:strCache>
            </c:strRef>
          </c:cat>
          <c:val>
            <c:numRef>
              <c:f>Komunikace!$C$2:$C$6</c:f>
              <c:numCache>
                <c:formatCode>#,##0</c:formatCode>
                <c:ptCount val="5"/>
                <c:pt idx="0">
                  <c:v>1</c:v>
                </c:pt>
                <c:pt idx="1">
                  <c:v>3</c:v>
                </c:pt>
                <c:pt idx="2">
                  <c:v>7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Komunikace!$D$1</c:f>
              <c:strCache>
                <c:ptCount val="1"/>
                <c:pt idx="0">
                  <c:v>Těžce zraněno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Komunikace!$A$2:$A$6</c:f>
              <c:strCache>
                <c:ptCount val="5"/>
                <c:pt idx="0">
                  <c:v>silnice I. třídy</c:v>
                </c:pt>
                <c:pt idx="1">
                  <c:v>silnice II. třídy</c:v>
                </c:pt>
                <c:pt idx="2">
                  <c:v>silnice III. třídy</c:v>
                </c:pt>
                <c:pt idx="3">
                  <c:v>místní komunikace</c:v>
                </c:pt>
                <c:pt idx="4">
                  <c:v>účelová komunikace</c:v>
                </c:pt>
              </c:strCache>
            </c:strRef>
          </c:cat>
          <c:val>
            <c:numRef>
              <c:f>Komunikace!$D$2:$D$6</c:f>
              <c:numCache>
                <c:formatCode>#,##0</c:formatCode>
                <c:ptCount val="5"/>
                <c:pt idx="0">
                  <c:v>0</c:v>
                </c:pt>
                <c:pt idx="1">
                  <c:v>1</c:v>
                </c:pt>
                <c:pt idx="2">
                  <c:v>6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Komunikace!$E$1</c:f>
              <c:strCache>
                <c:ptCount val="1"/>
                <c:pt idx="0">
                  <c:v>Lehce zraněno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Komunikace!$A$2:$A$6</c:f>
              <c:strCache>
                <c:ptCount val="5"/>
                <c:pt idx="0">
                  <c:v>silnice I. třídy</c:v>
                </c:pt>
                <c:pt idx="1">
                  <c:v>silnice II. třídy</c:v>
                </c:pt>
                <c:pt idx="2">
                  <c:v>silnice III. třídy</c:v>
                </c:pt>
                <c:pt idx="3">
                  <c:v>místní komunikace</c:v>
                </c:pt>
                <c:pt idx="4">
                  <c:v>účelová komunikace</c:v>
                </c:pt>
              </c:strCache>
            </c:strRef>
          </c:cat>
          <c:val>
            <c:numRef>
              <c:f>Komunikace!$E$2:$E$6</c:f>
              <c:numCache>
                <c:formatCode>#,##0</c:formatCode>
                <c:ptCount val="5"/>
                <c:pt idx="0">
                  <c:v>2</c:v>
                </c:pt>
                <c:pt idx="1">
                  <c:v>10</c:v>
                </c:pt>
                <c:pt idx="2">
                  <c:v>17</c:v>
                </c:pt>
                <c:pt idx="3">
                  <c:v>30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601929088"/>
        <c:axId val="601927912"/>
      </c:barChart>
      <c:lineChart>
        <c:grouping val="standard"/>
        <c:varyColors val="0"/>
        <c:ser>
          <c:idx val="0"/>
          <c:order val="0"/>
          <c:tx>
            <c:strRef>
              <c:f>Komunikace!$B$1</c:f>
              <c:strCache>
                <c:ptCount val="1"/>
                <c:pt idx="0">
                  <c:v>Nehod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Komunikace!$A$2:$A$6</c:f>
              <c:strCache>
                <c:ptCount val="5"/>
                <c:pt idx="0">
                  <c:v>silnice I. třídy</c:v>
                </c:pt>
                <c:pt idx="1">
                  <c:v>silnice II. třídy</c:v>
                </c:pt>
                <c:pt idx="2">
                  <c:v>silnice III. třídy</c:v>
                </c:pt>
                <c:pt idx="3">
                  <c:v>místní komunikace</c:v>
                </c:pt>
                <c:pt idx="4">
                  <c:v>účelová komunikace</c:v>
                </c:pt>
              </c:strCache>
            </c:strRef>
          </c:cat>
          <c:val>
            <c:numRef>
              <c:f>Komunikace!$B$2:$B$6</c:f>
              <c:numCache>
                <c:formatCode>#,##0</c:formatCode>
                <c:ptCount val="5"/>
                <c:pt idx="0">
                  <c:v>3</c:v>
                </c:pt>
                <c:pt idx="1">
                  <c:v>18</c:v>
                </c:pt>
                <c:pt idx="2">
                  <c:v>51</c:v>
                </c:pt>
                <c:pt idx="3">
                  <c:v>70</c:v>
                </c:pt>
                <c:pt idx="4">
                  <c:v>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929088"/>
        <c:axId val="601927912"/>
      </c:lineChart>
      <c:lineChart>
        <c:grouping val="standard"/>
        <c:varyColors val="0"/>
        <c:ser>
          <c:idx val="4"/>
          <c:order val="4"/>
          <c:tx>
            <c:strRef>
              <c:f>Komunikace!$F$1</c:f>
              <c:strCache>
                <c:ptCount val="1"/>
                <c:pt idx="0">
                  <c:v>Počet přejezdů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Komunikace!$A$2:$A$6</c:f>
              <c:strCache>
                <c:ptCount val="5"/>
                <c:pt idx="0">
                  <c:v>silnice I. třídy</c:v>
                </c:pt>
                <c:pt idx="1">
                  <c:v>silnice II. třídy</c:v>
                </c:pt>
                <c:pt idx="2">
                  <c:v>silnice III. třídy</c:v>
                </c:pt>
                <c:pt idx="3">
                  <c:v>místní komunikace</c:v>
                </c:pt>
                <c:pt idx="4">
                  <c:v>účelová komunikace</c:v>
                </c:pt>
              </c:strCache>
            </c:strRef>
          </c:cat>
          <c:val>
            <c:numRef>
              <c:f>Komunikace!$F$2:$F$6</c:f>
              <c:numCache>
                <c:formatCode>#,##0</c:formatCode>
                <c:ptCount val="5"/>
                <c:pt idx="0">
                  <c:v>164</c:v>
                </c:pt>
                <c:pt idx="1">
                  <c:v>570</c:v>
                </c:pt>
                <c:pt idx="2">
                  <c:v>1466</c:v>
                </c:pt>
                <c:pt idx="3">
                  <c:v>1774</c:v>
                </c:pt>
                <c:pt idx="4">
                  <c:v>3884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934184"/>
        <c:axId val="601928304"/>
      </c:lineChart>
      <c:catAx>
        <c:axId val="601929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Druh komunikace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01927912"/>
        <c:crosses val="autoZero"/>
        <c:auto val="1"/>
        <c:lblAlgn val="ctr"/>
        <c:lblOffset val="100"/>
        <c:noMultiLvlLbl val="0"/>
      </c:catAx>
      <c:valAx>
        <c:axId val="601927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Nehody a následky na životech a zdraví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01929088"/>
        <c:crosses val="autoZero"/>
        <c:crossBetween val="between"/>
      </c:valAx>
      <c:valAx>
        <c:axId val="60192830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Počet přejezdů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01934184"/>
        <c:crosses val="max"/>
        <c:crossBetween val="between"/>
      </c:valAx>
      <c:catAx>
        <c:axId val="6019341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01928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0500701301226237E-2"/>
          <c:y val="0.91429684770632336"/>
          <c:w val="0.95222593703564828"/>
          <c:h val="3.56496021078966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Nehody a následky na železničních přejezdech při srážkách s vlakem v jednotlivých krajích v roce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stacked"/>
        <c:varyColors val="0"/>
        <c:ser>
          <c:idx val="1"/>
          <c:order val="1"/>
          <c:tx>
            <c:strRef>
              <c:f>Měsíce!$C$44</c:f>
              <c:strCache>
                <c:ptCount val="1"/>
                <c:pt idx="0">
                  <c:v>Usmrceno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Kraje!$A$4:$A$17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Ústecký</c:v>
                </c:pt>
                <c:pt idx="5">
                  <c:v>Královéhradecký</c:v>
                </c:pt>
                <c:pt idx="6">
                  <c:v>Jihomoravský</c:v>
                </c:pt>
                <c:pt idx="7">
                  <c:v>Moravskoslezský</c:v>
                </c:pt>
                <c:pt idx="8">
                  <c:v>Olomoucký</c:v>
                </c:pt>
                <c:pt idx="9">
                  <c:v>Zlínský</c:v>
                </c:pt>
                <c:pt idx="10">
                  <c:v>Vysočina</c:v>
                </c:pt>
                <c:pt idx="11">
                  <c:v>Pardubický</c:v>
                </c:pt>
                <c:pt idx="12">
                  <c:v>Liberecký</c:v>
                </c:pt>
                <c:pt idx="13">
                  <c:v>Karlovarský</c:v>
                </c:pt>
              </c:strCache>
            </c:strRef>
          </c:cat>
          <c:val>
            <c:numRef>
              <c:f>Kraje!$H$4:$H$17</c:f>
              <c:numCache>
                <c:formatCode>General</c:formatCode>
                <c:ptCount val="14"/>
                <c:pt idx="0">
                  <c:v>0</c:v>
                </c:pt>
                <c:pt idx="1">
                  <c:v>8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0</c:v>
                </c:pt>
              </c:numCache>
            </c:numRef>
          </c:val>
        </c:ser>
        <c:ser>
          <c:idx val="2"/>
          <c:order val="2"/>
          <c:tx>
            <c:strRef>
              <c:f>Měsíce!$D$44</c:f>
              <c:strCache>
                <c:ptCount val="1"/>
                <c:pt idx="0">
                  <c:v>Těžce zraněno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Kraje!$A$4:$A$17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Ústecký</c:v>
                </c:pt>
                <c:pt idx="5">
                  <c:v>Královéhradecký</c:v>
                </c:pt>
                <c:pt idx="6">
                  <c:v>Jihomoravský</c:v>
                </c:pt>
                <c:pt idx="7">
                  <c:v>Moravskoslezský</c:v>
                </c:pt>
                <c:pt idx="8">
                  <c:v>Olomoucký</c:v>
                </c:pt>
                <c:pt idx="9">
                  <c:v>Zlínský</c:v>
                </c:pt>
                <c:pt idx="10">
                  <c:v>Vysočina</c:v>
                </c:pt>
                <c:pt idx="11">
                  <c:v>Pardubický</c:v>
                </c:pt>
                <c:pt idx="12">
                  <c:v>Liberecký</c:v>
                </c:pt>
                <c:pt idx="13">
                  <c:v>Karlovarský</c:v>
                </c:pt>
              </c:strCache>
            </c:strRef>
          </c:cat>
          <c:val>
            <c:numRef>
              <c:f>Kraje!$L$4:$L$17</c:f>
              <c:numCache>
                <c:formatCode>General</c:formatCode>
                <c:ptCount val="14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</c:ser>
        <c:ser>
          <c:idx val="3"/>
          <c:order val="3"/>
          <c:tx>
            <c:strRef>
              <c:f>Měsíce!$E$44</c:f>
              <c:strCache>
                <c:ptCount val="1"/>
                <c:pt idx="0">
                  <c:v>Lehce zraněno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Kraje!$A$4:$A$17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Ústecký</c:v>
                </c:pt>
                <c:pt idx="5">
                  <c:v>Královéhradecký</c:v>
                </c:pt>
                <c:pt idx="6">
                  <c:v>Jihomoravský</c:v>
                </c:pt>
                <c:pt idx="7">
                  <c:v>Moravskoslezský</c:v>
                </c:pt>
                <c:pt idx="8">
                  <c:v>Olomoucký</c:v>
                </c:pt>
                <c:pt idx="9">
                  <c:v>Zlínský</c:v>
                </c:pt>
                <c:pt idx="10">
                  <c:v>Vysočina</c:v>
                </c:pt>
                <c:pt idx="11">
                  <c:v>Pardubický</c:v>
                </c:pt>
                <c:pt idx="12">
                  <c:v>Liberecký</c:v>
                </c:pt>
                <c:pt idx="13">
                  <c:v>Karlovarský</c:v>
                </c:pt>
              </c:strCache>
            </c:strRef>
          </c:cat>
          <c:val>
            <c:numRef>
              <c:f>Kraje!$O$4:$O$17</c:f>
              <c:numCache>
                <c:formatCode>General</c:formatCode>
                <c:ptCount val="14"/>
                <c:pt idx="0">
                  <c:v>2</c:v>
                </c:pt>
                <c:pt idx="1">
                  <c:v>10</c:v>
                </c:pt>
                <c:pt idx="2">
                  <c:v>14</c:v>
                </c:pt>
                <c:pt idx="3">
                  <c:v>8</c:v>
                </c:pt>
                <c:pt idx="4">
                  <c:v>6</c:v>
                </c:pt>
                <c:pt idx="5">
                  <c:v>4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3</c:v>
                </c:pt>
                <c:pt idx="10">
                  <c:v>6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601935360"/>
        <c:axId val="601931048"/>
      </c:barChart>
      <c:lineChart>
        <c:grouping val="standard"/>
        <c:varyColors val="0"/>
        <c:ser>
          <c:idx val="0"/>
          <c:order val="0"/>
          <c:tx>
            <c:strRef>
              <c:f>Měsíce!$B$44</c:f>
              <c:strCache>
                <c:ptCount val="1"/>
                <c:pt idx="0">
                  <c:v>Nehod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Kraje!$A$4:$A$17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Ústecký</c:v>
                </c:pt>
                <c:pt idx="5">
                  <c:v>Královéhradecký</c:v>
                </c:pt>
                <c:pt idx="6">
                  <c:v>Jihomoravský</c:v>
                </c:pt>
                <c:pt idx="7">
                  <c:v>Moravskoslezský</c:v>
                </c:pt>
                <c:pt idx="8">
                  <c:v>Olomoucký</c:v>
                </c:pt>
                <c:pt idx="9">
                  <c:v>Zlínský</c:v>
                </c:pt>
                <c:pt idx="10">
                  <c:v>Vysočina</c:v>
                </c:pt>
                <c:pt idx="11">
                  <c:v>Pardubický</c:v>
                </c:pt>
                <c:pt idx="12">
                  <c:v>Liberecký</c:v>
                </c:pt>
                <c:pt idx="13">
                  <c:v>Karlovarský</c:v>
                </c:pt>
              </c:strCache>
            </c:strRef>
          </c:cat>
          <c:val>
            <c:numRef>
              <c:f>Kraje!$D$4:$D$17</c:f>
              <c:numCache>
                <c:formatCode>General</c:formatCode>
                <c:ptCount val="14"/>
                <c:pt idx="0">
                  <c:v>3</c:v>
                </c:pt>
                <c:pt idx="1">
                  <c:v>39</c:v>
                </c:pt>
                <c:pt idx="2">
                  <c:v>16</c:v>
                </c:pt>
                <c:pt idx="3">
                  <c:v>13</c:v>
                </c:pt>
                <c:pt idx="4">
                  <c:v>12</c:v>
                </c:pt>
                <c:pt idx="5">
                  <c:v>10</c:v>
                </c:pt>
                <c:pt idx="6">
                  <c:v>8</c:v>
                </c:pt>
                <c:pt idx="7">
                  <c:v>11</c:v>
                </c:pt>
                <c:pt idx="8">
                  <c:v>9</c:v>
                </c:pt>
                <c:pt idx="9">
                  <c:v>5</c:v>
                </c:pt>
                <c:pt idx="10">
                  <c:v>8</c:v>
                </c:pt>
                <c:pt idx="11">
                  <c:v>6</c:v>
                </c:pt>
                <c:pt idx="12">
                  <c:v>7</c:v>
                </c:pt>
                <c:pt idx="13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1924384"/>
        <c:axId val="601934576"/>
      </c:lineChart>
      <c:catAx>
        <c:axId val="601935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Kraj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01931048"/>
        <c:crosses val="autoZero"/>
        <c:auto val="1"/>
        <c:lblAlgn val="ctr"/>
        <c:lblOffset val="100"/>
        <c:noMultiLvlLbl val="0"/>
      </c:catAx>
      <c:valAx>
        <c:axId val="601931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Usmrceno,</a:t>
                </a:r>
                <a:r>
                  <a:rPr lang="cs-CZ" baseline="0"/>
                  <a:t> těžce a lehce zraněno</a:t>
                </a:r>
                <a:endParaRPr lang="cs-CZ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01935360"/>
        <c:crosses val="autoZero"/>
        <c:crossBetween val="between"/>
      </c:valAx>
      <c:valAx>
        <c:axId val="601934576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Počet nehod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01924384"/>
        <c:crosses val="max"/>
        <c:crossBetween val="between"/>
      </c:valAx>
      <c:catAx>
        <c:axId val="601924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019345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0.69527</cdr:x>
      <cdr:y>0.95692</cdr:y>
    </cdr:from>
    <cdr:to>
      <cdr:x>1</cdr:x>
      <cdr:y>1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6469042" y="5747020"/>
          <a:ext cx="2835379" cy="2587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Zdroj vstupních dat: ŘSDP PP ČR</a:t>
          </a:r>
          <a:r>
            <a:rPr lang="cs-CZ" sz="900" b="0" i="1" baseline="0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; </a:t>
          </a:r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Copyright © BESIP/CDV</a:t>
          </a:r>
          <a:endParaRPr lang="cs-CZ" sz="900" b="0" i="1">
            <a:solidFill>
              <a:schemeClr val="bg1">
                <a:lumMod val="50000"/>
              </a:schemeClr>
            </a:solidFill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0.69527</cdr:x>
      <cdr:y>0.95692</cdr:y>
    </cdr:from>
    <cdr:to>
      <cdr:x>1</cdr:x>
      <cdr:y>1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6469042" y="5747020"/>
          <a:ext cx="2835379" cy="2587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Zdroj vstupních dat: ŘSDP PP ČR</a:t>
          </a:r>
          <a:r>
            <a:rPr lang="cs-CZ" sz="900" b="0" i="1" baseline="0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; </a:t>
          </a:r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Copyright © BESIP/CDV</a:t>
          </a:r>
          <a:endParaRPr lang="cs-CZ" sz="900" b="0" i="1">
            <a:solidFill>
              <a:schemeClr val="bg1">
                <a:lumMod val="50000"/>
              </a:schemeClr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800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Kadula</dc:creator>
  <cp:keywords/>
  <dc:description/>
  <cp:lastModifiedBy>Lukáš Kadula</cp:lastModifiedBy>
  <cp:revision>25</cp:revision>
  <dcterms:created xsi:type="dcterms:W3CDTF">2019-07-17T06:46:00Z</dcterms:created>
  <dcterms:modified xsi:type="dcterms:W3CDTF">2019-07-30T13:51:00Z</dcterms:modified>
</cp:coreProperties>
</file>